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1379" w14:textId="327AEB30" w:rsidR="0096259F" w:rsidRDefault="00572C4A" w:rsidP="0096259F">
      <w:pPr>
        <w:jc w:val="center"/>
        <w:rPr>
          <w:b/>
          <w:bCs/>
        </w:rPr>
      </w:pPr>
      <w:r w:rsidRPr="004943C6">
        <w:rPr>
          <w:b/>
          <w:bCs/>
        </w:rPr>
        <w:t>Draft Development Contribution Scheme 2026–2030</w:t>
      </w:r>
    </w:p>
    <w:p w14:paraId="1E38EE63" w14:textId="70DF0F69" w:rsidR="00572C4A" w:rsidRPr="004943C6" w:rsidRDefault="00572C4A">
      <w:pPr>
        <w:rPr>
          <w:b/>
          <w:bCs/>
        </w:rPr>
      </w:pPr>
      <w:r w:rsidRPr="004943C6">
        <w:rPr>
          <w:b/>
          <w:bCs/>
        </w:rPr>
        <w:t>- Councillors Questions submitted:</w:t>
      </w:r>
    </w:p>
    <w:p w14:paraId="4B1A5014" w14:textId="77777777" w:rsidR="004943C6" w:rsidRPr="004943C6" w:rsidRDefault="004943C6" w:rsidP="00572C4A">
      <w:pPr>
        <w:rPr>
          <w:color w:val="3A7C22" w:themeColor="accent6" w:themeShade="BF"/>
        </w:rPr>
      </w:pPr>
    </w:p>
    <w:p w14:paraId="5E0C6AA0" w14:textId="299BF269" w:rsidR="004943C6" w:rsidRPr="00572C4A" w:rsidRDefault="004943C6" w:rsidP="00572C4A">
      <w:pPr>
        <w:rPr>
          <w:b/>
          <w:bCs/>
          <w:u w:val="single"/>
        </w:rPr>
      </w:pPr>
      <w:r w:rsidRPr="004943C6">
        <w:rPr>
          <w:b/>
          <w:bCs/>
          <w:u w:val="single"/>
        </w:rPr>
        <w:t>Cllr D. Healy</w:t>
      </w:r>
    </w:p>
    <w:p w14:paraId="28B1BAD6" w14:textId="77777777" w:rsidR="00572C4A" w:rsidRPr="002D74B1" w:rsidRDefault="00572C4A" w:rsidP="00867E03">
      <w:pPr>
        <w:numPr>
          <w:ilvl w:val="0"/>
          <w:numId w:val="1"/>
        </w:numPr>
        <w:tabs>
          <w:tab w:val="clear" w:pos="720"/>
        </w:tabs>
        <w:ind w:left="0" w:firstLine="0"/>
        <w:jc w:val="both"/>
        <w:rPr>
          <w:b/>
          <w:bCs/>
        </w:rPr>
      </w:pPr>
      <w:r w:rsidRPr="002D74B1">
        <w:rPr>
          <w:b/>
          <w:bCs/>
        </w:rPr>
        <w:t>Why is it proposed to apply differential rates for residential and commercial development? What would be the rate if we were to apply the same rate to both types of development with a view to raising the same total revenue from the forecast development?  </w:t>
      </w:r>
    </w:p>
    <w:p w14:paraId="060FA314" w14:textId="77777777" w:rsidR="003F5146" w:rsidRPr="003F5146" w:rsidRDefault="003F5146" w:rsidP="004943C6">
      <w:pPr>
        <w:jc w:val="both"/>
        <w:rPr>
          <w:b/>
          <w:bCs/>
          <w:color w:val="000000" w:themeColor="text1"/>
        </w:rPr>
      </w:pPr>
      <w:r w:rsidRPr="003F5146">
        <w:rPr>
          <w:b/>
          <w:bCs/>
          <w:color w:val="000000" w:themeColor="text1"/>
        </w:rPr>
        <w:t>Response:</w:t>
      </w:r>
    </w:p>
    <w:p w14:paraId="679B9BC0" w14:textId="5430BA72" w:rsidR="0092456E" w:rsidRPr="003F5146" w:rsidRDefault="000E0076" w:rsidP="004943C6">
      <w:pPr>
        <w:jc w:val="both"/>
        <w:rPr>
          <w:color w:val="000000" w:themeColor="text1"/>
        </w:rPr>
      </w:pPr>
      <w:r>
        <w:rPr>
          <w:color w:val="000000" w:themeColor="text1"/>
        </w:rPr>
        <w:t xml:space="preserve">Differences in the </w:t>
      </w:r>
      <w:r w:rsidR="00572C4A" w:rsidRPr="003F5146">
        <w:rPr>
          <w:color w:val="000000" w:themeColor="text1"/>
        </w:rPr>
        <w:t xml:space="preserve">rates </w:t>
      </w:r>
      <w:r w:rsidR="00D552F3" w:rsidRPr="002171F4">
        <w:rPr>
          <w:color w:val="000000" w:themeColor="text1"/>
        </w:rPr>
        <w:t xml:space="preserve">for </w:t>
      </w:r>
      <w:r w:rsidR="00D552F3" w:rsidRPr="00D552F3">
        <w:rPr>
          <w:color w:val="000000" w:themeColor="text1"/>
        </w:rPr>
        <w:t>residential and commercial development</w:t>
      </w:r>
      <w:r w:rsidR="00D552F3" w:rsidRPr="003F5146">
        <w:rPr>
          <w:color w:val="000000" w:themeColor="text1"/>
        </w:rPr>
        <w:t xml:space="preserve"> </w:t>
      </w:r>
      <w:r w:rsidR="00572C4A" w:rsidRPr="003F5146">
        <w:rPr>
          <w:color w:val="000000" w:themeColor="text1"/>
        </w:rPr>
        <w:t xml:space="preserve">have applied over the past number of </w:t>
      </w:r>
      <w:r w:rsidR="0092456E" w:rsidRPr="003F5146">
        <w:rPr>
          <w:color w:val="000000" w:themeColor="text1"/>
        </w:rPr>
        <w:t>S</w:t>
      </w:r>
      <w:r w:rsidR="00572C4A" w:rsidRPr="003F5146">
        <w:rPr>
          <w:color w:val="000000" w:themeColor="text1"/>
        </w:rPr>
        <w:t>chemes</w:t>
      </w:r>
      <w:r w:rsidR="004943C6" w:rsidRPr="003F5146">
        <w:rPr>
          <w:color w:val="000000" w:themeColor="text1"/>
        </w:rPr>
        <w:t xml:space="preserve"> with i</w:t>
      </w:r>
      <w:r w:rsidR="00572C4A" w:rsidRPr="003F5146">
        <w:rPr>
          <w:color w:val="000000" w:themeColor="text1"/>
        </w:rPr>
        <w:t xml:space="preserve">ndexation </w:t>
      </w:r>
      <w:r w:rsidR="00D552F3">
        <w:rPr>
          <w:color w:val="000000" w:themeColor="text1"/>
        </w:rPr>
        <w:t xml:space="preserve">applying </w:t>
      </w:r>
      <w:r w:rsidR="00572C4A" w:rsidRPr="003F5146">
        <w:rPr>
          <w:color w:val="000000" w:themeColor="text1"/>
        </w:rPr>
        <w:t>to both rates</w:t>
      </w:r>
      <w:r w:rsidR="00D552F3">
        <w:rPr>
          <w:color w:val="000000" w:themeColor="text1"/>
        </w:rPr>
        <w:t>.</w:t>
      </w:r>
      <w:r w:rsidR="00572C4A" w:rsidRPr="003F5146">
        <w:rPr>
          <w:color w:val="000000" w:themeColor="text1"/>
        </w:rPr>
        <w:t xml:space="preserve"> The draft </w:t>
      </w:r>
      <w:r w:rsidR="0092456E" w:rsidRPr="003F5146">
        <w:rPr>
          <w:color w:val="000000" w:themeColor="text1"/>
        </w:rPr>
        <w:t>S</w:t>
      </w:r>
      <w:r w:rsidR="00572C4A" w:rsidRPr="003F5146">
        <w:rPr>
          <w:color w:val="000000" w:themeColor="text1"/>
        </w:rPr>
        <w:t xml:space="preserve">cheme 2026-2030 has continued that approach.  </w:t>
      </w:r>
    </w:p>
    <w:p w14:paraId="45596E4C" w14:textId="1907EDA4" w:rsidR="00572C4A" w:rsidRDefault="00572C4A" w:rsidP="004943C6">
      <w:pPr>
        <w:jc w:val="both"/>
        <w:rPr>
          <w:color w:val="000000" w:themeColor="text1"/>
        </w:rPr>
      </w:pPr>
      <w:r w:rsidRPr="003F5146">
        <w:rPr>
          <w:color w:val="000000" w:themeColor="text1"/>
        </w:rPr>
        <w:t xml:space="preserve">The draft </w:t>
      </w:r>
      <w:r w:rsidR="0092456E" w:rsidRPr="003F5146">
        <w:rPr>
          <w:color w:val="000000" w:themeColor="text1"/>
        </w:rPr>
        <w:t>S</w:t>
      </w:r>
      <w:r w:rsidRPr="003F5146">
        <w:rPr>
          <w:color w:val="000000" w:themeColor="text1"/>
        </w:rPr>
        <w:t>cheme proposes a rate of €136.10 for residential development and a rate of €105.16 for non-residential development.  A rate of €120.50 per square meter for both residential and non-residential development would provide the same</w:t>
      </w:r>
      <w:r w:rsidR="002171F4">
        <w:rPr>
          <w:color w:val="000000" w:themeColor="text1"/>
        </w:rPr>
        <w:t xml:space="preserve"> forecasted </w:t>
      </w:r>
      <w:r w:rsidRPr="003F5146">
        <w:rPr>
          <w:color w:val="000000" w:themeColor="text1"/>
        </w:rPr>
        <w:t xml:space="preserve">yield over the lifetime of the </w:t>
      </w:r>
      <w:r w:rsidR="002171F4">
        <w:rPr>
          <w:color w:val="000000" w:themeColor="text1"/>
        </w:rPr>
        <w:t>S</w:t>
      </w:r>
      <w:r w:rsidRPr="003F5146">
        <w:rPr>
          <w:color w:val="000000" w:themeColor="text1"/>
        </w:rPr>
        <w:t>cheme.</w:t>
      </w:r>
    </w:p>
    <w:p w14:paraId="3C34C4EE" w14:textId="77777777" w:rsidR="003F5146" w:rsidRPr="003F5146" w:rsidRDefault="003F5146" w:rsidP="004943C6">
      <w:pPr>
        <w:jc w:val="both"/>
        <w:rPr>
          <w:color w:val="000000" w:themeColor="text1"/>
        </w:rPr>
      </w:pPr>
    </w:p>
    <w:p w14:paraId="12E92930" w14:textId="77777777" w:rsidR="00572C4A" w:rsidRPr="003F5146" w:rsidRDefault="00572C4A" w:rsidP="00867E03">
      <w:pPr>
        <w:numPr>
          <w:ilvl w:val="0"/>
          <w:numId w:val="1"/>
        </w:numPr>
        <w:tabs>
          <w:tab w:val="clear" w:pos="720"/>
          <w:tab w:val="num" w:pos="360"/>
        </w:tabs>
        <w:ind w:left="0" w:firstLine="0"/>
        <w:jc w:val="both"/>
        <w:rPr>
          <w:b/>
          <w:bCs/>
          <w:i/>
          <w:iCs/>
        </w:rPr>
      </w:pPr>
      <w:r w:rsidRPr="003F5146">
        <w:rPr>
          <w:b/>
          <w:bCs/>
          <w:i/>
          <w:iCs/>
        </w:rPr>
        <w:t>What is the rationale for the proposed car parking exemptions? If car parking was not exempted, what would be the impact on total revenue?  </w:t>
      </w:r>
    </w:p>
    <w:p w14:paraId="07F95CB3" w14:textId="77777777" w:rsidR="003F5146" w:rsidRPr="003F5146" w:rsidRDefault="003F5146" w:rsidP="003F5146">
      <w:pPr>
        <w:jc w:val="both"/>
        <w:rPr>
          <w:b/>
          <w:bCs/>
          <w:color w:val="000000" w:themeColor="text1"/>
        </w:rPr>
      </w:pPr>
      <w:r w:rsidRPr="003F5146">
        <w:rPr>
          <w:b/>
          <w:bCs/>
          <w:color w:val="000000" w:themeColor="text1"/>
        </w:rPr>
        <w:t>Response:</w:t>
      </w:r>
    </w:p>
    <w:p w14:paraId="3A206B5E" w14:textId="16083550" w:rsidR="000B7640" w:rsidRDefault="001F0F91" w:rsidP="000B7640">
      <w:pPr>
        <w:jc w:val="both"/>
      </w:pPr>
      <w:r>
        <w:t xml:space="preserve">The CE report in response to the public submissions contains details of changes to the </w:t>
      </w:r>
      <w:r w:rsidR="00D97516">
        <w:t xml:space="preserve">proposed new Scheme in respect of </w:t>
      </w:r>
      <w:r>
        <w:t>car</w:t>
      </w:r>
      <w:r w:rsidR="00D97516">
        <w:t>-</w:t>
      </w:r>
      <w:r>
        <w:t>parking</w:t>
      </w:r>
      <w:r w:rsidR="00D97516">
        <w:t xml:space="preserve"> as follows:</w:t>
      </w:r>
    </w:p>
    <w:p w14:paraId="02C8E8CB" w14:textId="20F5010C" w:rsidR="005C7313" w:rsidRPr="00FC0CC6" w:rsidRDefault="006C29B2" w:rsidP="006C29B2">
      <w:pPr>
        <w:spacing w:before="120" w:after="240"/>
        <w:ind w:left="1134" w:right="686"/>
        <w:jc w:val="both"/>
        <w:rPr>
          <w:rFonts w:ascii="Arial" w:eastAsia="Times New Roman" w:hAnsi="Arial" w:cs="Arial"/>
          <w:kern w:val="0"/>
          <w:lang w:eastAsia="en-IE"/>
        </w:rPr>
      </w:pPr>
      <w:r>
        <w:rPr>
          <w:rFonts w:ascii="Arial" w:eastAsia="Times New Roman" w:hAnsi="Arial" w:cs="Arial"/>
          <w:kern w:val="0"/>
          <w:lang w:eastAsia="en-IE"/>
        </w:rPr>
        <w:t>“</w:t>
      </w:r>
      <w:r w:rsidR="005C7313" w:rsidRPr="00FC0CC6">
        <w:rPr>
          <w:rFonts w:ascii="Arial" w:eastAsia="Times New Roman" w:hAnsi="Arial" w:cs="Arial"/>
          <w:kern w:val="0"/>
          <w:lang w:eastAsia="en-IE"/>
        </w:rPr>
        <w:t xml:space="preserve">It is proposed to amend </w:t>
      </w:r>
      <w:r w:rsidR="005C7313">
        <w:rPr>
          <w:rFonts w:ascii="Arial" w:eastAsia="Times New Roman" w:hAnsi="Arial" w:cs="Arial"/>
          <w:kern w:val="0"/>
          <w:lang w:eastAsia="en-IE"/>
        </w:rPr>
        <w:t xml:space="preserve">the draft Scheme to include </w:t>
      </w:r>
      <w:proofErr w:type="gramStart"/>
      <w:r w:rsidR="005C7313">
        <w:rPr>
          <w:rFonts w:ascii="Arial" w:eastAsia="Times New Roman" w:hAnsi="Arial" w:cs="Arial"/>
          <w:kern w:val="0"/>
          <w:lang w:eastAsia="en-IE"/>
        </w:rPr>
        <w:t>a number of</w:t>
      </w:r>
      <w:proofErr w:type="gramEnd"/>
      <w:r w:rsidR="005C7313">
        <w:rPr>
          <w:rFonts w:ascii="Arial" w:eastAsia="Times New Roman" w:hAnsi="Arial" w:cs="Arial"/>
          <w:kern w:val="0"/>
          <w:lang w:eastAsia="en-IE"/>
        </w:rPr>
        <w:t xml:space="preserve"> exemptions, reductions and clarifications, where relevant, </w:t>
      </w:r>
      <w:r w:rsidR="005C7313" w:rsidRPr="00FC0CC6">
        <w:rPr>
          <w:rFonts w:ascii="Arial" w:eastAsia="Times New Roman" w:hAnsi="Arial" w:cs="Arial"/>
          <w:kern w:val="0"/>
          <w:lang w:eastAsia="en-IE"/>
        </w:rPr>
        <w:t xml:space="preserve">in the new Scheme. </w:t>
      </w:r>
    </w:p>
    <w:p w14:paraId="7DC12BF6" w14:textId="77777777" w:rsidR="005C7313" w:rsidRDefault="005C7313" w:rsidP="006C29B2">
      <w:pPr>
        <w:spacing w:before="120" w:after="240"/>
        <w:ind w:left="1134" w:right="686"/>
        <w:jc w:val="both"/>
        <w:rPr>
          <w:rFonts w:ascii="Arial" w:eastAsia="Times New Roman" w:hAnsi="Arial" w:cs="Arial"/>
          <w:b/>
          <w:bCs/>
          <w:kern w:val="0"/>
          <w:lang w:eastAsia="en-IE"/>
        </w:rPr>
      </w:pPr>
    </w:p>
    <w:p w14:paraId="76C07586" w14:textId="77777777" w:rsidR="005C7313" w:rsidRPr="00FC0CC6" w:rsidRDefault="005C7313" w:rsidP="006C29B2">
      <w:pPr>
        <w:spacing w:before="120" w:after="240"/>
        <w:ind w:left="1134" w:right="686"/>
        <w:jc w:val="both"/>
        <w:rPr>
          <w:rFonts w:ascii="Arial" w:eastAsia="Times New Roman" w:hAnsi="Arial" w:cs="Arial"/>
          <w:b/>
          <w:bCs/>
          <w:kern w:val="0"/>
          <w:lang w:eastAsia="en-IE"/>
        </w:rPr>
      </w:pPr>
      <w:r w:rsidRPr="00FC0CC6">
        <w:rPr>
          <w:rFonts w:ascii="Arial" w:eastAsia="Times New Roman" w:hAnsi="Arial" w:cs="Arial"/>
          <w:b/>
          <w:bCs/>
          <w:kern w:val="0"/>
          <w:lang w:eastAsia="en-IE"/>
        </w:rPr>
        <w:t xml:space="preserve">Recommendation: </w:t>
      </w:r>
    </w:p>
    <w:p w14:paraId="50698AF1" w14:textId="77777777" w:rsidR="005C7313" w:rsidRPr="00FC0CC6" w:rsidRDefault="005C7313" w:rsidP="006C29B2">
      <w:pPr>
        <w:spacing w:before="120" w:after="240"/>
        <w:ind w:left="1134" w:right="686"/>
        <w:jc w:val="both"/>
        <w:rPr>
          <w:rFonts w:ascii="Arial" w:eastAsia="Times New Roman" w:hAnsi="Arial" w:cs="Arial"/>
          <w:kern w:val="0"/>
          <w:lang w:eastAsia="en-IE"/>
        </w:rPr>
      </w:pPr>
      <w:r w:rsidRPr="00FC0CC6">
        <w:rPr>
          <w:rFonts w:ascii="Arial" w:eastAsia="Times New Roman" w:hAnsi="Arial" w:cs="Arial"/>
          <w:kern w:val="0"/>
          <w:lang w:eastAsia="en-IE"/>
        </w:rPr>
        <w:t xml:space="preserve">Amend Paragraph 28: Exemptions </w:t>
      </w:r>
      <w:r>
        <w:rPr>
          <w:rFonts w:ascii="Arial" w:eastAsia="Times New Roman" w:hAnsi="Arial" w:cs="Arial"/>
          <w:kern w:val="0"/>
          <w:lang w:eastAsia="en-IE"/>
        </w:rPr>
        <w:t>by</w:t>
      </w:r>
      <w:r w:rsidRPr="00FC0CC6">
        <w:rPr>
          <w:rFonts w:ascii="Arial" w:eastAsia="Times New Roman" w:hAnsi="Arial" w:cs="Arial"/>
          <w:kern w:val="0"/>
          <w:lang w:eastAsia="en-IE"/>
        </w:rPr>
        <w:t xml:space="preserve"> remov</w:t>
      </w:r>
      <w:r>
        <w:rPr>
          <w:rFonts w:ascii="Arial" w:eastAsia="Times New Roman" w:hAnsi="Arial" w:cs="Arial"/>
          <w:kern w:val="0"/>
          <w:lang w:eastAsia="en-IE"/>
        </w:rPr>
        <w:t>ing</w:t>
      </w:r>
      <w:r w:rsidRPr="00FC0CC6">
        <w:rPr>
          <w:rFonts w:ascii="Arial" w:eastAsia="Times New Roman" w:hAnsi="Arial" w:cs="Arial"/>
          <w:kern w:val="0"/>
          <w:lang w:eastAsia="en-IE"/>
        </w:rPr>
        <w:t xml:space="preserve"> the text in red i</w:t>
      </w:r>
      <w:r>
        <w:rPr>
          <w:rFonts w:ascii="Arial" w:eastAsia="Times New Roman" w:hAnsi="Arial" w:cs="Arial"/>
          <w:kern w:val="0"/>
          <w:lang w:eastAsia="en-IE"/>
        </w:rPr>
        <w:t>nserting</w:t>
      </w:r>
      <w:r w:rsidRPr="00FC0CC6">
        <w:rPr>
          <w:rFonts w:ascii="Arial" w:eastAsia="Times New Roman" w:hAnsi="Arial" w:cs="Arial"/>
          <w:kern w:val="0"/>
          <w:lang w:eastAsia="en-IE"/>
        </w:rPr>
        <w:t xml:space="preserve"> the text in green as set out below: </w:t>
      </w:r>
    </w:p>
    <w:p w14:paraId="7C0423BA" w14:textId="77777777" w:rsidR="005C7313" w:rsidRPr="00874114" w:rsidRDefault="005C7313" w:rsidP="006C29B2">
      <w:pPr>
        <w:pStyle w:val="ListParagraph"/>
        <w:numPr>
          <w:ilvl w:val="0"/>
          <w:numId w:val="7"/>
        </w:numPr>
        <w:spacing w:after="0" w:line="240" w:lineRule="auto"/>
        <w:ind w:left="1134" w:right="686"/>
        <w:jc w:val="both"/>
        <w:rPr>
          <w:rFonts w:ascii="Open Sans" w:eastAsia="Yu Gothic UI Semilight" w:hAnsi="Open Sans" w:cs="Open Sans"/>
          <w:i/>
          <w:iCs/>
          <w:color w:val="000000" w:themeColor="text1"/>
        </w:rPr>
      </w:pPr>
      <w:bookmarkStart w:id="0" w:name="_Hlk215738521"/>
      <w:r w:rsidRPr="00874114">
        <w:rPr>
          <w:rFonts w:ascii="Open Sans" w:eastAsia="Yu Gothic UI Semilight" w:hAnsi="Open Sans" w:cs="Open Sans"/>
          <w:i/>
          <w:iCs/>
          <w:color w:val="000000" w:themeColor="text1"/>
        </w:rPr>
        <w:t>Car</w:t>
      </w:r>
      <w:r>
        <w:rPr>
          <w:rFonts w:ascii="Open Sans" w:eastAsia="Yu Gothic UI Semilight" w:hAnsi="Open Sans" w:cs="Open Sans"/>
          <w:i/>
          <w:iCs/>
          <w:color w:val="000000" w:themeColor="text1"/>
        </w:rPr>
        <w:t>-</w:t>
      </w:r>
      <w:r w:rsidRPr="00874114">
        <w:rPr>
          <w:rFonts w:ascii="Open Sans" w:eastAsia="Yu Gothic UI Semilight" w:hAnsi="Open Sans" w:cs="Open Sans"/>
          <w:i/>
          <w:iCs/>
          <w:color w:val="000000" w:themeColor="text1"/>
        </w:rPr>
        <w:t xml:space="preserve">parking is exempt in the following circumstances: </w:t>
      </w:r>
    </w:p>
    <w:p w14:paraId="45DB9127" w14:textId="77777777" w:rsidR="005C7313" w:rsidRPr="00B457FC" w:rsidRDefault="005C7313" w:rsidP="006C29B2">
      <w:pPr>
        <w:pStyle w:val="ListParagraph"/>
        <w:numPr>
          <w:ilvl w:val="0"/>
          <w:numId w:val="8"/>
        </w:numPr>
        <w:spacing w:after="0" w:line="240" w:lineRule="auto"/>
        <w:ind w:left="1134" w:right="686"/>
        <w:jc w:val="both"/>
        <w:rPr>
          <w:rFonts w:ascii="Open Sans" w:eastAsia="Yu Gothic UI Semilight" w:hAnsi="Open Sans" w:cs="Open Sans"/>
          <w:i/>
          <w:iCs/>
          <w:strike/>
          <w:color w:val="FF0000"/>
        </w:rPr>
      </w:pPr>
      <w:r w:rsidRPr="00B457FC">
        <w:rPr>
          <w:rFonts w:ascii="Open Sans" w:eastAsia="Yu Gothic UI Semilight" w:hAnsi="Open Sans" w:cs="Open Sans"/>
          <w:i/>
          <w:iCs/>
          <w:strike/>
          <w:color w:val="FF0000"/>
        </w:rPr>
        <w:t xml:space="preserve">Carparking in residential developments. </w:t>
      </w:r>
    </w:p>
    <w:p w14:paraId="135C654E" w14:textId="77777777" w:rsidR="005C7313" w:rsidRPr="00B457FC" w:rsidRDefault="005C7313" w:rsidP="006C29B2">
      <w:pPr>
        <w:pStyle w:val="ListParagraph"/>
        <w:numPr>
          <w:ilvl w:val="1"/>
          <w:numId w:val="7"/>
        </w:numPr>
        <w:spacing w:after="0" w:line="240" w:lineRule="auto"/>
        <w:ind w:left="1134" w:right="686"/>
        <w:jc w:val="both"/>
        <w:rPr>
          <w:rFonts w:ascii="Open Sans" w:eastAsia="Yu Gothic UI Semilight" w:hAnsi="Open Sans" w:cs="Open Sans"/>
          <w:i/>
          <w:iCs/>
          <w:strike/>
          <w:color w:val="FF0000"/>
        </w:rPr>
      </w:pPr>
      <w:r w:rsidRPr="00B457FC">
        <w:rPr>
          <w:rFonts w:ascii="Open Sans" w:eastAsia="Yu Gothic UI Semilight" w:hAnsi="Open Sans" w:cs="Open Sans"/>
          <w:i/>
          <w:iCs/>
          <w:strike/>
          <w:color w:val="FF0000"/>
        </w:rPr>
        <w:t xml:space="preserve">Carparking integrated within a structure when ancillary to the proposed use of the structure. (When not exempt, i.e. when use is </w:t>
      </w:r>
      <w:r w:rsidRPr="00B457FC">
        <w:rPr>
          <w:rFonts w:ascii="Open Sans" w:eastAsia="Yu Gothic UI Semilight" w:hAnsi="Open Sans" w:cs="Open Sans"/>
          <w:i/>
          <w:iCs/>
          <w:strike/>
          <w:color w:val="FF0000"/>
        </w:rPr>
        <w:lastRenderedPageBreak/>
        <w:t xml:space="preserve">non-ancillary, it will be measured </w:t>
      </w:r>
      <w:proofErr w:type="gramStart"/>
      <w:r w:rsidRPr="00B457FC">
        <w:rPr>
          <w:rFonts w:ascii="Open Sans" w:eastAsia="Yu Gothic UI Semilight" w:hAnsi="Open Sans" w:cs="Open Sans"/>
          <w:i/>
          <w:iCs/>
          <w:strike/>
          <w:color w:val="FF0000"/>
        </w:rPr>
        <w:t>on the basis of</w:t>
      </w:r>
      <w:proofErr w:type="gramEnd"/>
      <w:r w:rsidRPr="00B457FC">
        <w:rPr>
          <w:rFonts w:ascii="Open Sans" w:eastAsia="Yu Gothic UI Semilight" w:hAnsi="Open Sans" w:cs="Open Sans"/>
          <w:i/>
          <w:iCs/>
          <w:strike/>
          <w:color w:val="FF0000"/>
        </w:rPr>
        <w:t xml:space="preserve"> the gross floor area.) </w:t>
      </w:r>
    </w:p>
    <w:p w14:paraId="5AA71689" w14:textId="77777777" w:rsidR="005C7313" w:rsidRPr="00B457FC" w:rsidRDefault="005C7313" w:rsidP="006C29B2">
      <w:pPr>
        <w:pStyle w:val="ListParagraph"/>
        <w:ind w:left="1134" w:right="686"/>
        <w:jc w:val="both"/>
        <w:rPr>
          <w:rFonts w:ascii="Open Sans" w:eastAsia="Yu Gothic UI Semilight" w:hAnsi="Open Sans" w:cs="Open Sans"/>
          <w:i/>
          <w:iCs/>
          <w:strike/>
          <w:color w:val="FF0000"/>
        </w:rPr>
      </w:pPr>
    </w:p>
    <w:p w14:paraId="57185E42" w14:textId="77777777" w:rsidR="005C7313" w:rsidRPr="00B457FC" w:rsidRDefault="005C7313" w:rsidP="006C29B2">
      <w:pPr>
        <w:pStyle w:val="ListParagraph"/>
        <w:numPr>
          <w:ilvl w:val="0"/>
          <w:numId w:val="8"/>
        </w:numPr>
        <w:spacing w:after="0" w:line="240" w:lineRule="auto"/>
        <w:ind w:left="1134" w:right="686"/>
        <w:jc w:val="both"/>
        <w:rPr>
          <w:rFonts w:ascii="Open Sans" w:eastAsia="Yu Gothic UI Semilight" w:hAnsi="Open Sans" w:cs="Open Sans"/>
          <w:i/>
          <w:iCs/>
          <w:color w:val="00B050"/>
        </w:rPr>
      </w:pPr>
      <w:r w:rsidRPr="00B457FC">
        <w:rPr>
          <w:rFonts w:ascii="Open Sans" w:eastAsia="Yu Gothic UI Semilight" w:hAnsi="Open Sans" w:cs="Open Sans"/>
          <w:i/>
          <w:iCs/>
          <w:color w:val="00B050"/>
        </w:rPr>
        <w:t xml:space="preserve">Residential ancillary car-parking in residential developments and in line with County Development Plan standards, whether surface or non-surface. </w:t>
      </w:r>
    </w:p>
    <w:p w14:paraId="5CE4F7AC" w14:textId="77777777" w:rsidR="005C7313" w:rsidRPr="00B457FC" w:rsidRDefault="005C7313" w:rsidP="006C29B2">
      <w:pPr>
        <w:pStyle w:val="ListParagraph"/>
        <w:ind w:left="1134" w:right="686"/>
        <w:jc w:val="both"/>
        <w:rPr>
          <w:rFonts w:ascii="Open Sans" w:eastAsia="Yu Gothic UI Semilight" w:hAnsi="Open Sans" w:cs="Open Sans"/>
          <w:i/>
          <w:iCs/>
        </w:rPr>
      </w:pPr>
    </w:p>
    <w:p w14:paraId="56FE5853" w14:textId="77777777" w:rsidR="005C7313" w:rsidRPr="00B457FC" w:rsidRDefault="005C7313" w:rsidP="006C29B2">
      <w:pPr>
        <w:pStyle w:val="ListParagraph"/>
        <w:numPr>
          <w:ilvl w:val="0"/>
          <w:numId w:val="8"/>
        </w:numPr>
        <w:spacing w:after="0" w:line="240" w:lineRule="auto"/>
        <w:ind w:left="1134" w:right="686"/>
        <w:jc w:val="both"/>
        <w:rPr>
          <w:rFonts w:ascii="Open Sans" w:hAnsi="Open Sans" w:cs="Open Sans"/>
          <w:i/>
          <w:iCs/>
          <w:color w:val="00B050"/>
        </w:rPr>
      </w:pPr>
      <w:r w:rsidRPr="00B457FC">
        <w:rPr>
          <w:rFonts w:ascii="Open Sans" w:hAnsi="Open Sans" w:cs="Open Sans"/>
          <w:i/>
          <w:iCs/>
          <w:color w:val="00B050"/>
        </w:rPr>
        <w:t xml:space="preserve">Underground, multi-storey or undercroft car-parking integrated within a building when ancillary to the proposed use of the building. </w:t>
      </w:r>
    </w:p>
    <w:bookmarkEnd w:id="0"/>
    <w:p w14:paraId="768F55FF" w14:textId="77777777" w:rsidR="005C7313" w:rsidRPr="008E4B0E" w:rsidRDefault="005C7313" w:rsidP="006C29B2">
      <w:pPr>
        <w:spacing w:before="120" w:after="240"/>
        <w:ind w:left="1134" w:right="686"/>
        <w:jc w:val="both"/>
        <w:rPr>
          <w:rFonts w:ascii="Arial" w:eastAsia="Times New Roman" w:hAnsi="Arial" w:cs="Arial"/>
          <w:kern w:val="0"/>
          <w:lang w:eastAsia="en-IE"/>
        </w:rPr>
      </w:pPr>
      <w:r w:rsidRPr="008E4B0E">
        <w:rPr>
          <w:rFonts w:ascii="Arial" w:eastAsia="Times New Roman" w:hAnsi="Arial" w:cs="Arial"/>
          <w:kern w:val="0"/>
          <w:lang w:eastAsia="en-IE"/>
        </w:rPr>
        <w:t>Amend Paragraph 2</w:t>
      </w:r>
      <w:r>
        <w:rPr>
          <w:rFonts w:ascii="Arial" w:eastAsia="Times New Roman" w:hAnsi="Arial" w:cs="Arial"/>
          <w:kern w:val="0"/>
          <w:lang w:eastAsia="en-IE"/>
        </w:rPr>
        <w:t>9</w:t>
      </w:r>
      <w:r w:rsidRPr="008E4B0E">
        <w:rPr>
          <w:rFonts w:ascii="Arial" w:eastAsia="Times New Roman" w:hAnsi="Arial" w:cs="Arial"/>
          <w:kern w:val="0"/>
          <w:lang w:eastAsia="en-IE"/>
        </w:rPr>
        <w:t xml:space="preserve">: </w:t>
      </w:r>
      <w:r>
        <w:rPr>
          <w:rFonts w:ascii="Arial" w:eastAsia="Times New Roman" w:hAnsi="Arial" w:cs="Arial"/>
          <w:kern w:val="0"/>
          <w:lang w:eastAsia="en-IE"/>
        </w:rPr>
        <w:t xml:space="preserve">Reductions </w:t>
      </w:r>
      <w:r w:rsidRPr="008E4B0E">
        <w:rPr>
          <w:rFonts w:ascii="Arial" w:eastAsia="Times New Roman" w:hAnsi="Arial" w:cs="Arial"/>
          <w:kern w:val="0"/>
          <w:lang w:eastAsia="en-IE"/>
        </w:rPr>
        <w:t xml:space="preserve">by </w:t>
      </w:r>
      <w:r>
        <w:rPr>
          <w:rFonts w:ascii="Arial" w:eastAsia="Times New Roman" w:hAnsi="Arial" w:cs="Arial"/>
          <w:kern w:val="0"/>
          <w:lang w:eastAsia="en-IE"/>
        </w:rPr>
        <w:t xml:space="preserve">including </w:t>
      </w:r>
      <w:r w:rsidRPr="008E4B0E">
        <w:rPr>
          <w:rFonts w:ascii="Arial" w:eastAsia="Times New Roman" w:hAnsi="Arial" w:cs="Arial"/>
          <w:kern w:val="0"/>
          <w:lang w:eastAsia="en-IE"/>
        </w:rPr>
        <w:t xml:space="preserve">the text in </w:t>
      </w:r>
      <w:r>
        <w:rPr>
          <w:rFonts w:ascii="Arial" w:eastAsia="Times New Roman" w:hAnsi="Arial" w:cs="Arial"/>
          <w:kern w:val="0"/>
          <w:lang w:eastAsia="en-IE"/>
        </w:rPr>
        <w:t>green</w:t>
      </w:r>
      <w:r w:rsidRPr="008E4B0E">
        <w:rPr>
          <w:rFonts w:ascii="Arial" w:eastAsia="Times New Roman" w:hAnsi="Arial" w:cs="Arial"/>
          <w:kern w:val="0"/>
          <w:lang w:eastAsia="en-IE"/>
        </w:rPr>
        <w:t xml:space="preserve"> as set out below: </w:t>
      </w:r>
    </w:p>
    <w:p w14:paraId="73E2FC6A" w14:textId="77777777" w:rsidR="005C7313" w:rsidRPr="008E4B0E" w:rsidRDefault="005C7313" w:rsidP="006C29B2">
      <w:pPr>
        <w:pStyle w:val="ListParagraph"/>
        <w:spacing w:line="259" w:lineRule="auto"/>
        <w:ind w:left="1134" w:right="686"/>
        <w:jc w:val="both"/>
        <w:rPr>
          <w:rFonts w:ascii="Open Sans" w:eastAsia="Yu Gothic UI Semilight" w:hAnsi="Open Sans" w:cs="Open Sans"/>
          <w:i/>
          <w:iCs/>
          <w:color w:val="00B050"/>
        </w:rPr>
      </w:pPr>
      <w:r w:rsidRPr="008E4B0E">
        <w:rPr>
          <w:rFonts w:ascii="Open Sans" w:eastAsia="Yu Gothic UI Semilight" w:hAnsi="Open Sans" w:cs="Open Sans"/>
          <w:i/>
          <w:iCs/>
          <w:color w:val="00B050"/>
        </w:rPr>
        <w:t xml:space="preserve">Car-parking in residential developments assessed as being </w:t>
      </w:r>
      <w:proofErr w:type="gramStart"/>
      <w:r w:rsidRPr="008E4B0E">
        <w:rPr>
          <w:rFonts w:ascii="Open Sans" w:eastAsia="Yu Gothic UI Semilight" w:hAnsi="Open Sans" w:cs="Open Sans"/>
          <w:i/>
          <w:iCs/>
          <w:color w:val="00B050"/>
        </w:rPr>
        <w:t>in excess of</w:t>
      </w:r>
      <w:proofErr w:type="gramEnd"/>
      <w:r w:rsidRPr="008E4B0E">
        <w:rPr>
          <w:rFonts w:ascii="Open Sans" w:eastAsia="Yu Gothic UI Semilight" w:hAnsi="Open Sans" w:cs="Open Sans"/>
          <w:i/>
          <w:iCs/>
          <w:color w:val="00B050"/>
        </w:rPr>
        <w:t xml:space="preserve"> County Development Plan standard requirements will be subject to a 50% reduction in the residential development rate on a per square metre basis.</w:t>
      </w:r>
    </w:p>
    <w:p w14:paraId="65FA542F" w14:textId="77777777" w:rsidR="005C7313" w:rsidRPr="00FF7556" w:rsidRDefault="005C7313" w:rsidP="006C29B2">
      <w:pPr>
        <w:ind w:left="1134" w:right="686"/>
        <w:jc w:val="both"/>
        <w:rPr>
          <w:rFonts w:ascii="Arial" w:eastAsia="Times New Roman" w:hAnsi="Arial" w:cs="Arial"/>
          <w:kern w:val="0"/>
          <w:lang w:eastAsia="en-IE"/>
        </w:rPr>
      </w:pPr>
      <w:r w:rsidRPr="00FF7556">
        <w:rPr>
          <w:rFonts w:ascii="Arial" w:eastAsia="Times New Roman" w:hAnsi="Arial" w:cs="Arial"/>
          <w:kern w:val="0"/>
          <w:lang w:eastAsia="en-IE"/>
        </w:rPr>
        <w:t xml:space="preserve">The text below will be inserted at the end of Paragraph 28 which sets out developments which will not be exempt: </w:t>
      </w:r>
    </w:p>
    <w:p w14:paraId="4F7C7BA5" w14:textId="4F22143E" w:rsidR="005C7313" w:rsidRPr="0011636F" w:rsidRDefault="005C7313" w:rsidP="006C29B2">
      <w:pPr>
        <w:numPr>
          <w:ilvl w:val="0"/>
          <w:numId w:val="9"/>
        </w:numPr>
        <w:spacing w:after="0" w:line="240" w:lineRule="auto"/>
        <w:ind w:left="1134" w:right="686"/>
        <w:rPr>
          <w:rFonts w:ascii="Open Sans" w:eastAsia="Yu Gothic UI Semilight" w:hAnsi="Open Sans" w:cs="Open Sans"/>
          <w:color w:val="00B050"/>
        </w:rPr>
      </w:pPr>
      <w:r w:rsidRPr="00B457FC">
        <w:rPr>
          <w:rFonts w:ascii="Open Sans" w:eastAsia="Yu Gothic UI Semilight" w:hAnsi="Open Sans" w:cs="Open Sans"/>
          <w:i/>
          <w:iCs/>
          <w:color w:val="00B050"/>
        </w:rPr>
        <w:t>Stand-alone underground, multi-storey or undercroft carparking</w:t>
      </w:r>
      <w:r w:rsidRPr="0011636F">
        <w:rPr>
          <w:rFonts w:ascii="Open Sans" w:eastAsia="Yu Gothic UI Semilight" w:hAnsi="Open Sans" w:cs="Open Sans"/>
          <w:color w:val="00B050"/>
        </w:rPr>
        <w:t>.</w:t>
      </w:r>
      <w:r w:rsidR="006C29B2">
        <w:rPr>
          <w:rFonts w:ascii="Open Sans" w:eastAsia="Yu Gothic UI Semilight" w:hAnsi="Open Sans" w:cs="Open Sans"/>
          <w:color w:val="00B050"/>
        </w:rPr>
        <w:t>”</w:t>
      </w:r>
    </w:p>
    <w:p w14:paraId="75A04A58" w14:textId="77777777" w:rsidR="005C7313" w:rsidRDefault="005C7313" w:rsidP="005C7313">
      <w:pPr>
        <w:spacing w:before="120" w:after="240"/>
        <w:jc w:val="both"/>
        <w:rPr>
          <w:rFonts w:ascii="Arial" w:eastAsia="Times New Roman" w:hAnsi="Arial" w:cs="Arial"/>
          <w:b/>
          <w:bCs/>
          <w:color w:val="000000"/>
          <w:kern w:val="0"/>
          <w:lang w:eastAsia="en-IE"/>
        </w:rPr>
      </w:pPr>
    </w:p>
    <w:p w14:paraId="2AC17AFE" w14:textId="4690A55C" w:rsidR="000C3B1D" w:rsidRDefault="003A0E8F" w:rsidP="005C7313">
      <w:pPr>
        <w:spacing w:before="120" w:after="240"/>
        <w:jc w:val="both"/>
      </w:pPr>
      <w:r>
        <w:t>T</w:t>
      </w:r>
      <w:r w:rsidR="003F5146" w:rsidRPr="002171F4">
        <w:t xml:space="preserve">he development pipeline analysis does not contain </w:t>
      </w:r>
      <w:r w:rsidR="00E13ACF">
        <w:t xml:space="preserve">the </w:t>
      </w:r>
      <w:r w:rsidR="003F5146" w:rsidRPr="002171F4">
        <w:t>detail</w:t>
      </w:r>
      <w:r>
        <w:t xml:space="preserve"> </w:t>
      </w:r>
      <w:r w:rsidR="00B96A88">
        <w:t xml:space="preserve">on future development </w:t>
      </w:r>
      <w:r w:rsidR="00E13ACF">
        <w:t xml:space="preserve">required </w:t>
      </w:r>
      <w:r w:rsidR="00B96A88">
        <w:t>to carry out modelling</w:t>
      </w:r>
      <w:r w:rsidR="003B1541">
        <w:t xml:space="preserve"> </w:t>
      </w:r>
      <w:r w:rsidR="009C6524">
        <w:t xml:space="preserve">on the impact </w:t>
      </w:r>
      <w:r w:rsidR="00D70FC7">
        <w:t xml:space="preserve">to the forecasted yield </w:t>
      </w:r>
      <w:r w:rsidR="008E66BD">
        <w:t>in respect of car-parking exemptions.</w:t>
      </w:r>
    </w:p>
    <w:p w14:paraId="52F0A2F2" w14:textId="77777777" w:rsidR="009C6524" w:rsidRPr="002171F4" w:rsidRDefault="009C6524" w:rsidP="005C7313">
      <w:pPr>
        <w:spacing w:before="120" w:after="240"/>
        <w:jc w:val="both"/>
      </w:pPr>
    </w:p>
    <w:p w14:paraId="23D340F4" w14:textId="43E6764A" w:rsidR="00CB6109" w:rsidRPr="00C304D4" w:rsidRDefault="00572C4A" w:rsidP="00CB6109">
      <w:pPr>
        <w:numPr>
          <w:ilvl w:val="0"/>
          <w:numId w:val="1"/>
        </w:numPr>
        <w:tabs>
          <w:tab w:val="clear" w:pos="720"/>
          <w:tab w:val="num" w:pos="426"/>
        </w:tabs>
        <w:ind w:left="0" w:firstLine="0"/>
        <w:jc w:val="both"/>
        <w:rPr>
          <w:b/>
          <w:bCs/>
          <w:i/>
          <w:iCs/>
        </w:rPr>
      </w:pPr>
      <w:r w:rsidRPr="00C304D4">
        <w:rPr>
          <w:b/>
          <w:bCs/>
          <w:i/>
          <w:iCs/>
        </w:rPr>
        <w:t>Dublin City Council doesn't include within the gross floor area of multi-unit residential buildings the following: "common circulation areas, bin and bicycle storage areas and ancillary uses solely for residents." Am I correct that our draft does include those in the calculations? What would be the average reduction in contribution per apartment if we used the same basis for calculation as Dublin City Council? What would be the impact on total revenue?</w:t>
      </w:r>
    </w:p>
    <w:p w14:paraId="426F2A72" w14:textId="77777777" w:rsidR="00ED4D30" w:rsidRDefault="00ED4D30" w:rsidP="00ED4D30">
      <w:pPr>
        <w:jc w:val="both"/>
        <w:rPr>
          <w:b/>
          <w:bCs/>
          <w:color w:val="000000" w:themeColor="text1"/>
        </w:rPr>
      </w:pPr>
    </w:p>
    <w:p w14:paraId="1678059E" w14:textId="510B880D" w:rsidR="00C304D4" w:rsidRPr="00ED4D30" w:rsidRDefault="00C304D4" w:rsidP="00ED4D30">
      <w:pPr>
        <w:jc w:val="both"/>
        <w:rPr>
          <w:b/>
          <w:bCs/>
          <w:color w:val="000000" w:themeColor="text1"/>
        </w:rPr>
      </w:pPr>
      <w:r w:rsidRPr="00ED4D30">
        <w:rPr>
          <w:b/>
          <w:bCs/>
          <w:color w:val="000000" w:themeColor="text1"/>
        </w:rPr>
        <w:t>Response:</w:t>
      </w:r>
    </w:p>
    <w:p w14:paraId="783AA4B6" w14:textId="64239180" w:rsidR="000C3B1D" w:rsidRDefault="000C3B1D" w:rsidP="00C304D4">
      <w:pPr>
        <w:jc w:val="both"/>
      </w:pPr>
      <w:r>
        <w:t xml:space="preserve">The CE report in response to the public submissions contains details of changes to the proposed new Scheme in respect of </w:t>
      </w:r>
      <w:r w:rsidR="00B36E5B">
        <w:t>this matter</w:t>
      </w:r>
      <w:r>
        <w:t xml:space="preserve"> as follows:</w:t>
      </w:r>
    </w:p>
    <w:p w14:paraId="21405F4D" w14:textId="77777777" w:rsidR="00AC4703" w:rsidRPr="00AC4703" w:rsidRDefault="00AC4703" w:rsidP="00AC4703">
      <w:pPr>
        <w:spacing w:before="120" w:after="240"/>
        <w:ind w:left="426" w:right="828"/>
        <w:jc w:val="both"/>
        <w:rPr>
          <w:rFonts w:ascii="Arial" w:eastAsia="Times New Roman" w:hAnsi="Arial" w:cs="Arial"/>
          <w:i/>
          <w:iCs/>
          <w:color w:val="000000"/>
          <w:kern w:val="0"/>
          <w:lang w:eastAsia="en-IE"/>
        </w:rPr>
      </w:pPr>
      <w:proofErr w:type="gramStart"/>
      <w:r w:rsidRPr="00AC4703">
        <w:rPr>
          <w:rFonts w:ascii="Arial" w:eastAsia="Times New Roman" w:hAnsi="Arial" w:cs="Arial"/>
          <w:i/>
          <w:iCs/>
          <w:color w:val="000000"/>
          <w:kern w:val="0"/>
          <w:lang w:eastAsia="en-IE"/>
        </w:rPr>
        <w:lastRenderedPageBreak/>
        <w:t>A number of</w:t>
      </w:r>
      <w:proofErr w:type="gramEnd"/>
      <w:r w:rsidRPr="00AC4703">
        <w:rPr>
          <w:rFonts w:ascii="Arial" w:eastAsia="Times New Roman" w:hAnsi="Arial" w:cs="Arial"/>
          <w:i/>
          <w:iCs/>
          <w:color w:val="000000"/>
          <w:kern w:val="0"/>
          <w:lang w:eastAsia="en-IE"/>
        </w:rPr>
        <w:t xml:space="preserve"> submissions sought an exemption for common circulation areas in multi-unit residential buildings.</w:t>
      </w:r>
    </w:p>
    <w:p w14:paraId="3D94CF6F" w14:textId="77777777" w:rsidR="00AC4703" w:rsidRPr="00AC4703" w:rsidRDefault="00AC4703" w:rsidP="00AC4703">
      <w:pPr>
        <w:spacing w:before="120" w:after="240"/>
        <w:ind w:left="426" w:right="828"/>
        <w:jc w:val="both"/>
        <w:rPr>
          <w:rFonts w:ascii="Arial" w:eastAsia="Times New Roman" w:hAnsi="Arial" w:cs="Arial"/>
          <w:b/>
          <w:bCs/>
          <w:i/>
          <w:iCs/>
          <w:kern w:val="0"/>
          <w:lang w:eastAsia="en-IE"/>
        </w:rPr>
      </w:pPr>
      <w:r w:rsidRPr="00AC4703">
        <w:rPr>
          <w:rFonts w:ascii="Arial" w:eastAsia="Times New Roman" w:hAnsi="Arial" w:cs="Arial"/>
          <w:b/>
          <w:bCs/>
          <w:i/>
          <w:iCs/>
          <w:kern w:val="0"/>
          <w:lang w:eastAsia="en-IE"/>
        </w:rPr>
        <w:t>Response:</w:t>
      </w:r>
    </w:p>
    <w:p w14:paraId="10E6B396" w14:textId="77777777" w:rsidR="00AC4703" w:rsidRPr="00AC4703" w:rsidRDefault="00AC4703" w:rsidP="00AC4703">
      <w:pPr>
        <w:spacing w:before="120" w:after="240"/>
        <w:ind w:left="426" w:right="828"/>
        <w:jc w:val="both"/>
        <w:rPr>
          <w:rFonts w:ascii="Arial" w:eastAsia="Times New Roman" w:hAnsi="Arial" w:cs="Arial"/>
          <w:i/>
          <w:iCs/>
          <w:kern w:val="0"/>
          <w:lang w:eastAsia="en-IE"/>
        </w:rPr>
      </w:pPr>
      <w:r w:rsidRPr="00AC4703">
        <w:rPr>
          <w:rFonts w:ascii="Arial" w:eastAsia="Times New Roman" w:hAnsi="Arial" w:cs="Arial"/>
          <w:i/>
          <w:iCs/>
          <w:kern w:val="0"/>
          <w:lang w:eastAsia="en-IE"/>
        </w:rPr>
        <w:t xml:space="preserve">The issues raised in the submissions are noted. It is proposed to provide an exemption for this issue. </w:t>
      </w:r>
    </w:p>
    <w:p w14:paraId="7D84484C" w14:textId="77777777" w:rsidR="00AC4703" w:rsidRPr="00AC4703" w:rsidRDefault="00AC4703" w:rsidP="00AC4703">
      <w:pPr>
        <w:spacing w:before="120" w:after="240"/>
        <w:ind w:left="426" w:right="828"/>
        <w:jc w:val="both"/>
        <w:rPr>
          <w:rFonts w:ascii="Arial" w:eastAsia="Times New Roman" w:hAnsi="Arial" w:cs="Arial"/>
          <w:b/>
          <w:bCs/>
          <w:i/>
          <w:iCs/>
          <w:kern w:val="0"/>
          <w:lang w:eastAsia="en-IE"/>
        </w:rPr>
      </w:pPr>
      <w:r w:rsidRPr="00AC4703">
        <w:rPr>
          <w:rFonts w:ascii="Arial" w:eastAsia="Times New Roman" w:hAnsi="Arial" w:cs="Arial"/>
          <w:b/>
          <w:bCs/>
          <w:i/>
          <w:iCs/>
          <w:kern w:val="0"/>
          <w:lang w:eastAsia="en-IE"/>
        </w:rPr>
        <w:t xml:space="preserve">Recommendation: </w:t>
      </w:r>
    </w:p>
    <w:p w14:paraId="56D67E66" w14:textId="77777777" w:rsidR="00AC4703" w:rsidRPr="00AC4703" w:rsidRDefault="00AC4703" w:rsidP="00AC4703">
      <w:pPr>
        <w:spacing w:before="120" w:after="240"/>
        <w:ind w:left="426" w:right="828"/>
        <w:jc w:val="both"/>
        <w:rPr>
          <w:rFonts w:ascii="Arial" w:eastAsia="Times New Roman" w:hAnsi="Arial" w:cs="Arial"/>
          <w:i/>
          <w:iCs/>
          <w:kern w:val="0"/>
          <w:lang w:eastAsia="en-IE"/>
        </w:rPr>
      </w:pPr>
      <w:r w:rsidRPr="00AC4703">
        <w:rPr>
          <w:rFonts w:ascii="Arial" w:eastAsia="Times New Roman" w:hAnsi="Arial" w:cs="Arial"/>
          <w:i/>
          <w:iCs/>
          <w:kern w:val="0"/>
          <w:lang w:eastAsia="en-IE"/>
        </w:rPr>
        <w:t xml:space="preserve">Amend Paragraph 28: Exemptions to include the following text: </w:t>
      </w:r>
    </w:p>
    <w:p w14:paraId="7DBBF361" w14:textId="77777777" w:rsidR="00AC4703" w:rsidRPr="00AC4703" w:rsidRDefault="00AC4703" w:rsidP="00AC4703">
      <w:pPr>
        <w:spacing w:after="0" w:line="240" w:lineRule="auto"/>
        <w:ind w:left="426" w:right="828"/>
        <w:jc w:val="both"/>
        <w:rPr>
          <w:rFonts w:ascii="Open Sans" w:eastAsia="Yu Gothic UI Semilight" w:hAnsi="Open Sans" w:cs="Open Sans"/>
          <w:i/>
          <w:iCs/>
          <w:color w:val="00B050"/>
        </w:rPr>
      </w:pPr>
      <w:r w:rsidRPr="00AC4703">
        <w:rPr>
          <w:rFonts w:ascii="Open Sans" w:eastAsia="Yu Gothic UI Semilight" w:hAnsi="Open Sans" w:cs="Open Sans"/>
          <w:i/>
          <w:iCs/>
          <w:color w:val="00B050"/>
        </w:rPr>
        <w:t>“Common circulation areas, bin and bicycle storage areas solely for the use of residents in multi-unit residential buildings.”</w:t>
      </w:r>
    </w:p>
    <w:p w14:paraId="2E74D8C2" w14:textId="77777777" w:rsidR="00AC4703" w:rsidRDefault="00AC4703" w:rsidP="00AC4703">
      <w:pPr>
        <w:shd w:val="clear" w:color="auto" w:fill="FFFFFF" w:themeFill="background1"/>
        <w:spacing w:before="120" w:after="240"/>
        <w:jc w:val="both"/>
        <w:rPr>
          <w:rFonts w:ascii="Arial" w:eastAsia="Times New Roman" w:hAnsi="Arial" w:cs="Arial"/>
          <w:color w:val="000000"/>
          <w:kern w:val="0"/>
          <w:lang w:eastAsia="en-IE"/>
        </w:rPr>
      </w:pPr>
    </w:p>
    <w:p w14:paraId="1F510DFE" w14:textId="11E39146" w:rsidR="00E7272B" w:rsidRDefault="00E7272B" w:rsidP="00E7272B">
      <w:pPr>
        <w:spacing w:before="120" w:after="240"/>
        <w:jc w:val="both"/>
      </w:pPr>
      <w:r>
        <w:t>T</w:t>
      </w:r>
      <w:r w:rsidRPr="002171F4">
        <w:t>he development pipeline analysis does not contain detail</w:t>
      </w:r>
      <w:r>
        <w:t xml:space="preserve">s on future development to carry out modelling on the impact to the forecasted yield in respect of providing </w:t>
      </w:r>
      <w:r w:rsidR="002D74B1">
        <w:t xml:space="preserve">this </w:t>
      </w:r>
      <w:r>
        <w:t>exemption.</w:t>
      </w:r>
    </w:p>
    <w:p w14:paraId="76A17EB1" w14:textId="77777777" w:rsidR="00B36E5B" w:rsidRDefault="00B36E5B" w:rsidP="00C304D4">
      <w:pPr>
        <w:jc w:val="both"/>
      </w:pPr>
    </w:p>
    <w:p w14:paraId="4837531B" w14:textId="77777777" w:rsidR="00572C4A" w:rsidRPr="002D74B1" w:rsidRDefault="00572C4A" w:rsidP="00867E03">
      <w:pPr>
        <w:numPr>
          <w:ilvl w:val="0"/>
          <w:numId w:val="1"/>
        </w:numPr>
        <w:tabs>
          <w:tab w:val="clear" w:pos="720"/>
        </w:tabs>
        <w:ind w:left="0" w:firstLine="0"/>
        <w:jc w:val="both"/>
        <w:rPr>
          <w:b/>
          <w:bCs/>
        </w:rPr>
      </w:pPr>
      <w:r w:rsidRPr="002D74B1">
        <w:rPr>
          <w:b/>
          <w:bCs/>
        </w:rPr>
        <w:t>What would be the impact on total revenue if we were to include “Communal, social and cultural facilities associated with a housing development” within the exemptions? </w:t>
      </w:r>
    </w:p>
    <w:p w14:paraId="79414AB2" w14:textId="77777777" w:rsidR="00ED4D30" w:rsidRPr="00ED4D30" w:rsidRDefault="00ED4D30" w:rsidP="00ED4D30">
      <w:pPr>
        <w:jc w:val="both"/>
        <w:rPr>
          <w:b/>
          <w:bCs/>
          <w:color w:val="000000" w:themeColor="text1"/>
        </w:rPr>
      </w:pPr>
      <w:r w:rsidRPr="00ED4D30">
        <w:rPr>
          <w:b/>
          <w:bCs/>
          <w:color w:val="000000" w:themeColor="text1"/>
        </w:rPr>
        <w:t>Response:</w:t>
      </w:r>
    </w:p>
    <w:p w14:paraId="3541B043" w14:textId="51F9D316" w:rsidR="005700B5" w:rsidRDefault="005700B5" w:rsidP="005700B5">
      <w:pPr>
        <w:spacing w:before="120" w:after="240"/>
        <w:jc w:val="both"/>
      </w:pPr>
      <w:r>
        <w:t>T</w:t>
      </w:r>
      <w:r w:rsidRPr="002171F4">
        <w:t xml:space="preserve">he development pipeline analysis does not contain </w:t>
      </w:r>
      <w:r w:rsidR="00E13ACF">
        <w:t xml:space="preserve">the </w:t>
      </w:r>
      <w:r w:rsidRPr="002171F4">
        <w:t>detail</w:t>
      </w:r>
      <w:r>
        <w:t xml:space="preserve"> on future development </w:t>
      </w:r>
      <w:r w:rsidR="00E13ACF">
        <w:t>required</w:t>
      </w:r>
      <w:r w:rsidR="0061474B">
        <w:t xml:space="preserve"> </w:t>
      </w:r>
      <w:r>
        <w:t>to carry out modelling on the impact to the forecasted yield in respect of providing this exemption.</w:t>
      </w:r>
    </w:p>
    <w:p w14:paraId="08E0DB17" w14:textId="77777777" w:rsidR="005700B5" w:rsidRPr="00572C4A" w:rsidRDefault="005700B5" w:rsidP="009F2479">
      <w:pPr>
        <w:jc w:val="both"/>
        <w:rPr>
          <w:color w:val="3A7C22" w:themeColor="accent6" w:themeShade="BF"/>
        </w:rPr>
      </w:pPr>
    </w:p>
    <w:p w14:paraId="6D53F313" w14:textId="77777777" w:rsidR="00572C4A" w:rsidRPr="00572C4A" w:rsidRDefault="00572C4A" w:rsidP="001B0C75">
      <w:pPr>
        <w:numPr>
          <w:ilvl w:val="0"/>
          <w:numId w:val="1"/>
        </w:numPr>
        <w:tabs>
          <w:tab w:val="clear" w:pos="720"/>
        </w:tabs>
        <w:ind w:left="0" w:firstLine="0"/>
        <w:jc w:val="both"/>
      </w:pPr>
      <w:r w:rsidRPr="00572C4A">
        <w:t>Why is the rate for renewable energy above 0.5MW the same as in the 2021 scheme? Is it correct that this rate was not index-linked in the previous scheme and is not index-linked in the current scheme? What would be the rate and the impact on total revenue we were to now index-link it from the 2021 baseline?</w:t>
      </w:r>
    </w:p>
    <w:p w14:paraId="479375CB" w14:textId="77777777" w:rsidR="00462424" w:rsidRDefault="00462424" w:rsidP="00462424">
      <w:pPr>
        <w:jc w:val="both"/>
        <w:rPr>
          <w:b/>
          <w:bCs/>
          <w:color w:val="000000" w:themeColor="text1"/>
        </w:rPr>
      </w:pPr>
    </w:p>
    <w:p w14:paraId="70D341E1" w14:textId="2A4C2E28" w:rsidR="00462424" w:rsidRPr="00462424" w:rsidRDefault="00462424" w:rsidP="00462424">
      <w:pPr>
        <w:jc w:val="both"/>
        <w:rPr>
          <w:b/>
          <w:bCs/>
          <w:color w:val="000000" w:themeColor="text1"/>
        </w:rPr>
      </w:pPr>
      <w:r w:rsidRPr="00462424">
        <w:rPr>
          <w:b/>
          <w:bCs/>
          <w:color w:val="000000" w:themeColor="text1"/>
        </w:rPr>
        <w:t>Response:</w:t>
      </w:r>
    </w:p>
    <w:p w14:paraId="24276749" w14:textId="02D772DA" w:rsidR="00B60439" w:rsidRPr="00462424" w:rsidRDefault="00572C4A" w:rsidP="009F2479">
      <w:pPr>
        <w:jc w:val="both"/>
        <w:rPr>
          <w:color w:val="000000" w:themeColor="text1"/>
        </w:rPr>
      </w:pPr>
      <w:r w:rsidRPr="00462424">
        <w:rPr>
          <w:color w:val="000000" w:themeColor="text1"/>
        </w:rPr>
        <w:t xml:space="preserve">The current 2021-2025 Scheme and the previous </w:t>
      </w:r>
      <w:r w:rsidR="00462424">
        <w:rPr>
          <w:color w:val="000000" w:themeColor="text1"/>
        </w:rPr>
        <w:t>S</w:t>
      </w:r>
      <w:r w:rsidRPr="00462424">
        <w:rPr>
          <w:color w:val="000000" w:themeColor="text1"/>
        </w:rPr>
        <w:t xml:space="preserve">cheme did not provide for indexation of the rate for renewable energy above 0.5MW. The draft </w:t>
      </w:r>
      <w:r w:rsidR="00D015D3">
        <w:rPr>
          <w:color w:val="000000" w:themeColor="text1"/>
        </w:rPr>
        <w:t>S</w:t>
      </w:r>
      <w:r w:rsidRPr="00462424">
        <w:rPr>
          <w:color w:val="000000" w:themeColor="text1"/>
        </w:rPr>
        <w:t xml:space="preserve">cheme 2026-2030 has continued that approach. </w:t>
      </w:r>
    </w:p>
    <w:p w14:paraId="7AF6AA1D" w14:textId="37B065AA" w:rsidR="00D75618" w:rsidRDefault="00FD0781" w:rsidP="00D015D3">
      <w:pPr>
        <w:spacing w:before="120" w:after="240"/>
        <w:jc w:val="both"/>
      </w:pPr>
      <w:r>
        <w:lastRenderedPageBreak/>
        <w:t xml:space="preserve">Indexation of </w:t>
      </w:r>
      <w:r w:rsidR="0061474B">
        <w:t xml:space="preserve">contribution </w:t>
      </w:r>
      <w:r>
        <w:t>rates following the adoption of the 2021-2025 Scheme is as follows:</w:t>
      </w:r>
    </w:p>
    <w:p w14:paraId="29D36DE8" w14:textId="2F2C16AD" w:rsidR="00FD0781" w:rsidRDefault="00FD0781" w:rsidP="00D015D3">
      <w:pPr>
        <w:spacing w:before="120" w:after="240"/>
        <w:jc w:val="both"/>
      </w:pPr>
      <w:r w:rsidRPr="002F45B8">
        <w:rPr>
          <w:rFonts w:ascii="Arial" w:eastAsia="Times New Roman" w:hAnsi="Arial" w:cs="Arial"/>
          <w:noProof/>
          <w:color w:val="000000"/>
          <w:kern w:val="0"/>
          <w:lang w:eastAsia="en-IE"/>
        </w:rPr>
        <w:drawing>
          <wp:inline distT="0" distB="0" distL="0" distR="0" wp14:anchorId="496EC9EE" wp14:editId="3A459C8F">
            <wp:extent cx="3632200" cy="1485900"/>
            <wp:effectExtent l="0" t="0" r="6350" b="0"/>
            <wp:docPr id="3" name="Picture 2">
              <a:extLst xmlns:a="http://schemas.openxmlformats.org/drawingml/2006/main">
                <a:ext uri="{FF2B5EF4-FFF2-40B4-BE49-F238E27FC236}">
                  <a16:creationId xmlns:a16="http://schemas.microsoft.com/office/drawing/2014/main" id="{504D4A05-B02B-B1C7-4798-AC0F517DD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04D4A05-B02B-B1C7-4798-AC0F517DD065}"/>
                        </a:ext>
                      </a:extLst>
                    </pic:cNvPr>
                    <pic:cNvPicPr>
                      <a:picLocks noChangeAspect="1"/>
                    </pic:cNvPicPr>
                  </pic:nvPicPr>
                  <pic:blipFill>
                    <a:blip r:embed="rId8"/>
                    <a:stretch>
                      <a:fillRect/>
                    </a:stretch>
                  </pic:blipFill>
                  <pic:spPr>
                    <a:xfrm>
                      <a:off x="0" y="0"/>
                      <a:ext cx="3632200" cy="1485900"/>
                    </a:xfrm>
                    <a:prstGeom prst="rect">
                      <a:avLst/>
                    </a:prstGeom>
                  </pic:spPr>
                </pic:pic>
              </a:graphicData>
            </a:graphic>
          </wp:inline>
        </w:drawing>
      </w:r>
    </w:p>
    <w:p w14:paraId="31D2DF96" w14:textId="77F62930" w:rsidR="00FD0781" w:rsidRPr="007D7DD9" w:rsidRDefault="00EA5450" w:rsidP="00D015D3">
      <w:pPr>
        <w:spacing w:before="120" w:after="240"/>
        <w:jc w:val="both"/>
        <w:rPr>
          <w:color w:val="000000" w:themeColor="text1"/>
        </w:rPr>
      </w:pPr>
      <w:r>
        <w:rPr>
          <w:color w:val="000000" w:themeColor="text1"/>
        </w:rPr>
        <w:t xml:space="preserve">If indexation was applied to the 2021 baseline </w:t>
      </w:r>
      <w:r w:rsidR="00FD0781">
        <w:t>rate of €1,</w:t>
      </w:r>
      <w:r w:rsidR="00FD0781" w:rsidRPr="007D7DD9">
        <w:rPr>
          <w:color w:val="000000" w:themeColor="text1"/>
        </w:rPr>
        <w:t xml:space="preserve">000 per </w:t>
      </w:r>
      <w:r w:rsidR="00CF5E0B" w:rsidRPr="007D7DD9">
        <w:rPr>
          <w:color w:val="000000" w:themeColor="text1"/>
        </w:rPr>
        <w:t>each 0.1</w:t>
      </w:r>
      <w:r w:rsidR="007D7DD9">
        <w:rPr>
          <w:color w:val="000000" w:themeColor="text1"/>
        </w:rPr>
        <w:t xml:space="preserve">mw </w:t>
      </w:r>
      <w:r w:rsidR="00CF5E0B" w:rsidRPr="007D7DD9">
        <w:rPr>
          <w:color w:val="000000" w:themeColor="text1"/>
        </w:rPr>
        <w:t>above an installed capacity of 0.5</w:t>
      </w:r>
      <w:r w:rsidR="007D7DD9">
        <w:rPr>
          <w:color w:val="000000" w:themeColor="text1"/>
        </w:rPr>
        <w:t>mw</w:t>
      </w:r>
      <w:r w:rsidR="00303BB4" w:rsidRPr="007D7DD9">
        <w:rPr>
          <w:color w:val="000000" w:themeColor="text1"/>
        </w:rPr>
        <w:t xml:space="preserve"> </w:t>
      </w:r>
      <w:r w:rsidR="008D704F" w:rsidRPr="007D7DD9">
        <w:rPr>
          <w:color w:val="000000" w:themeColor="text1"/>
        </w:rPr>
        <w:t>in respect of Renewable Energy Developments</w:t>
      </w:r>
      <w:r w:rsidR="007B162C">
        <w:rPr>
          <w:color w:val="000000" w:themeColor="text1"/>
        </w:rPr>
        <w:t xml:space="preserve">, the rates in 2026 would </w:t>
      </w:r>
      <w:r w:rsidR="00CA7C82">
        <w:rPr>
          <w:color w:val="000000" w:themeColor="text1"/>
        </w:rPr>
        <w:t xml:space="preserve">be </w:t>
      </w:r>
      <w:r w:rsidR="00303BB4">
        <w:rPr>
          <w:color w:val="000000" w:themeColor="text1"/>
        </w:rPr>
        <w:t>€1,371.26.</w:t>
      </w:r>
    </w:p>
    <w:p w14:paraId="20A32E61" w14:textId="294F0929" w:rsidR="00D015D3" w:rsidRDefault="00D015D3" w:rsidP="00D015D3">
      <w:pPr>
        <w:spacing w:before="120" w:after="240"/>
        <w:jc w:val="both"/>
      </w:pPr>
      <w:r>
        <w:t>T</w:t>
      </w:r>
      <w:r w:rsidRPr="002171F4">
        <w:t xml:space="preserve">he development pipeline analysis does not contain </w:t>
      </w:r>
      <w:r w:rsidR="003C2A7A">
        <w:t xml:space="preserve">the </w:t>
      </w:r>
      <w:r w:rsidRPr="002171F4">
        <w:t>detail</w:t>
      </w:r>
      <w:r>
        <w:t xml:space="preserve"> on future development </w:t>
      </w:r>
      <w:r w:rsidR="003C2A7A">
        <w:t xml:space="preserve">required </w:t>
      </w:r>
      <w:r>
        <w:t xml:space="preserve">to carry out modelling on the impact to the forecasted yield in respect of </w:t>
      </w:r>
      <w:r w:rsidR="00E81FA7">
        <w:t>applying indexation to the rate.</w:t>
      </w:r>
    </w:p>
    <w:p w14:paraId="3F209B61" w14:textId="77777777" w:rsidR="007B162C" w:rsidRDefault="007B162C" w:rsidP="00D015D3">
      <w:pPr>
        <w:spacing w:before="120" w:after="240"/>
        <w:jc w:val="both"/>
      </w:pPr>
    </w:p>
    <w:p w14:paraId="664E5517" w14:textId="77777777" w:rsidR="00572C4A" w:rsidRPr="007B162C" w:rsidRDefault="00572C4A" w:rsidP="001B0C75">
      <w:pPr>
        <w:numPr>
          <w:ilvl w:val="0"/>
          <w:numId w:val="1"/>
        </w:numPr>
        <w:tabs>
          <w:tab w:val="clear" w:pos="720"/>
        </w:tabs>
        <w:ind w:left="0" w:firstLine="0"/>
        <w:rPr>
          <w:b/>
          <w:bCs/>
        </w:rPr>
      </w:pPr>
      <w:r w:rsidRPr="007B162C">
        <w:rPr>
          <w:b/>
          <w:bCs/>
        </w:rPr>
        <w:t>Noting that Dublin City Council exempts cost rental housing, why is it proposed to not exempt cost rental housing? What would be the impact on total revenue if cost rental were to be exempted?</w:t>
      </w:r>
    </w:p>
    <w:p w14:paraId="7CD4211B" w14:textId="77777777" w:rsidR="006F65D6" w:rsidRDefault="006F65D6" w:rsidP="006F65D6">
      <w:pPr>
        <w:jc w:val="both"/>
        <w:rPr>
          <w:b/>
          <w:bCs/>
          <w:color w:val="000000" w:themeColor="text1"/>
        </w:rPr>
      </w:pPr>
    </w:p>
    <w:p w14:paraId="471D4474" w14:textId="3AE84CB9" w:rsidR="006F65D6" w:rsidRPr="006F65D6" w:rsidRDefault="006F65D6" w:rsidP="006F65D6">
      <w:pPr>
        <w:jc w:val="both"/>
        <w:rPr>
          <w:b/>
          <w:bCs/>
          <w:color w:val="000000" w:themeColor="text1"/>
        </w:rPr>
      </w:pPr>
      <w:r w:rsidRPr="006F65D6">
        <w:rPr>
          <w:b/>
          <w:bCs/>
          <w:color w:val="000000" w:themeColor="text1"/>
        </w:rPr>
        <w:t>Response:</w:t>
      </w:r>
    </w:p>
    <w:p w14:paraId="43F31B4B" w14:textId="7D2FB6C0" w:rsidR="00EB01B5" w:rsidRDefault="00572C4A" w:rsidP="009F2479">
      <w:pPr>
        <w:jc w:val="both"/>
      </w:pPr>
      <w:r w:rsidRPr="006F65D6">
        <w:t>The current 2021-2025 FCC scheme does not provide for an exemption for cost rental housing.  The draft scheme 2026-2030 has continued that approach. The purpose of the Development Contribution Scheme is to provide a revenue source to part fund provision of public infrastructure</w:t>
      </w:r>
      <w:r w:rsidR="009A5F4A" w:rsidRPr="006F65D6">
        <w:t>.</w:t>
      </w:r>
      <w:r w:rsidRPr="006F65D6">
        <w:t xml:space="preserve"> Providing exemptions for cost rental</w:t>
      </w:r>
      <w:r w:rsidR="00A33491" w:rsidRPr="006F65D6">
        <w:t xml:space="preserve"> housing</w:t>
      </w:r>
      <w:r w:rsidRPr="006F65D6">
        <w:t xml:space="preserve"> will result in the reduction of the amount of development levies being available to fund much needed public infrastructure and/or placing the burden onto other forms of </w:t>
      </w:r>
      <w:r w:rsidR="0011346A">
        <w:t>residentia</w:t>
      </w:r>
      <w:r w:rsidR="00704202">
        <w:t xml:space="preserve">l </w:t>
      </w:r>
      <w:r w:rsidRPr="006F65D6">
        <w:t>development</w:t>
      </w:r>
      <w:r w:rsidR="00704202">
        <w:t xml:space="preserve"> or non-residential development.</w:t>
      </w:r>
    </w:p>
    <w:p w14:paraId="4D080C96" w14:textId="77777777" w:rsidR="00F664B3" w:rsidRDefault="00F664B3" w:rsidP="00F664B3">
      <w:pPr>
        <w:spacing w:before="120" w:after="240"/>
        <w:jc w:val="both"/>
      </w:pPr>
      <w:r>
        <w:t>T</w:t>
      </w:r>
      <w:r w:rsidRPr="002171F4">
        <w:t xml:space="preserve">he development pipeline analysis does not contain </w:t>
      </w:r>
      <w:r>
        <w:t xml:space="preserve">the </w:t>
      </w:r>
      <w:r w:rsidRPr="002171F4">
        <w:t>detail</w:t>
      </w:r>
      <w:r>
        <w:t xml:space="preserve"> on future development required to carry out modelling on the impact to the forecasted yield in respect of providing this exemption.</w:t>
      </w:r>
    </w:p>
    <w:p w14:paraId="4DFA13F6" w14:textId="77777777" w:rsidR="00BE030F" w:rsidRDefault="00BE030F" w:rsidP="00F664B3">
      <w:pPr>
        <w:spacing w:before="120" w:after="240"/>
        <w:jc w:val="both"/>
      </w:pPr>
    </w:p>
    <w:p w14:paraId="646B8460" w14:textId="77777777" w:rsidR="00BE030F" w:rsidRDefault="00BE030F" w:rsidP="00F664B3">
      <w:pPr>
        <w:spacing w:before="120" w:after="240"/>
        <w:jc w:val="both"/>
      </w:pPr>
    </w:p>
    <w:p w14:paraId="38AD7649" w14:textId="77777777" w:rsidR="00BE030F" w:rsidRPr="007A0434" w:rsidRDefault="00BE030F" w:rsidP="00F664B3">
      <w:pPr>
        <w:spacing w:before="120" w:after="240"/>
        <w:jc w:val="both"/>
        <w:rPr>
          <w:b/>
          <w:bCs/>
        </w:rPr>
      </w:pPr>
    </w:p>
    <w:p w14:paraId="72AE591D" w14:textId="77777777" w:rsidR="00572C4A" w:rsidRPr="007A0434" w:rsidRDefault="00572C4A" w:rsidP="001B0C75">
      <w:pPr>
        <w:numPr>
          <w:ilvl w:val="0"/>
          <w:numId w:val="1"/>
        </w:numPr>
        <w:tabs>
          <w:tab w:val="clear" w:pos="720"/>
          <w:tab w:val="num" w:pos="360"/>
        </w:tabs>
        <w:ind w:left="0" w:firstLine="0"/>
        <w:rPr>
          <w:b/>
          <w:bCs/>
        </w:rPr>
      </w:pPr>
      <w:r w:rsidRPr="007A0434">
        <w:rPr>
          <w:b/>
          <w:bCs/>
        </w:rPr>
        <w:t>What is planned as regards s.49 Development Contributions in areas to be served by Metrolink?</w:t>
      </w:r>
    </w:p>
    <w:p w14:paraId="2CA1F2C9" w14:textId="77777777" w:rsidR="005452B5" w:rsidRDefault="005452B5" w:rsidP="005452B5">
      <w:pPr>
        <w:jc w:val="both"/>
        <w:rPr>
          <w:b/>
          <w:bCs/>
          <w:color w:val="000000" w:themeColor="text1"/>
        </w:rPr>
      </w:pPr>
    </w:p>
    <w:p w14:paraId="60BEE55A" w14:textId="2C329C46" w:rsidR="005452B5" w:rsidRPr="005452B5" w:rsidRDefault="005452B5" w:rsidP="005452B5">
      <w:pPr>
        <w:jc w:val="both"/>
        <w:rPr>
          <w:b/>
          <w:bCs/>
          <w:color w:val="000000" w:themeColor="text1"/>
        </w:rPr>
      </w:pPr>
      <w:r w:rsidRPr="005452B5">
        <w:rPr>
          <w:b/>
          <w:bCs/>
          <w:color w:val="000000" w:themeColor="text1"/>
        </w:rPr>
        <w:t>Response:</w:t>
      </w:r>
    </w:p>
    <w:p w14:paraId="573D3442" w14:textId="3659EF96" w:rsidR="00431655" w:rsidRDefault="00431655" w:rsidP="00431655">
      <w:pPr>
        <w:jc w:val="both"/>
      </w:pPr>
      <w:r>
        <w:t xml:space="preserve">The CE report in response to the public submissions contains </w:t>
      </w:r>
      <w:r w:rsidR="00907891">
        <w:t>response</w:t>
      </w:r>
      <w:r>
        <w:t xml:space="preserve"> to this issue </w:t>
      </w:r>
      <w:r w:rsidR="007A0434">
        <w:t xml:space="preserve">is </w:t>
      </w:r>
      <w:r>
        <w:t>as follows:</w:t>
      </w:r>
    </w:p>
    <w:p w14:paraId="2D728E67" w14:textId="09C13BBE" w:rsidR="00431655" w:rsidRPr="007A0434" w:rsidRDefault="00431655" w:rsidP="007A0434">
      <w:pPr>
        <w:spacing w:before="120" w:after="240"/>
        <w:ind w:left="567" w:right="545"/>
        <w:jc w:val="both"/>
        <w:rPr>
          <w:rFonts w:ascii="Arial" w:hAnsi="Arial" w:cs="Arial"/>
          <w:i/>
          <w:iCs/>
        </w:rPr>
      </w:pPr>
      <w:r w:rsidRPr="007A0434">
        <w:rPr>
          <w:rFonts w:ascii="Arial" w:eastAsia="Times New Roman" w:hAnsi="Arial" w:cs="Arial"/>
          <w:i/>
          <w:iCs/>
          <w:color w:val="000000"/>
          <w:kern w:val="0"/>
          <w:lang w:eastAsia="en-IE"/>
        </w:rPr>
        <w:t xml:space="preserve">Section 49 development contributions are separate to Section 48 development contributions. The Development Contribution Scheme sets out the basis for seeking development contributions under Section 48 of the </w:t>
      </w:r>
      <w:r w:rsidRPr="007A0434">
        <w:rPr>
          <w:rFonts w:ascii="Arial" w:hAnsi="Arial" w:cs="Arial"/>
          <w:i/>
          <w:iCs/>
        </w:rPr>
        <w:t>Planning and Development Act, 2000, as amended.</w:t>
      </w:r>
    </w:p>
    <w:p w14:paraId="3854EF71" w14:textId="77777777" w:rsidR="00431655" w:rsidRDefault="00431655" w:rsidP="00572C4A">
      <w:pPr>
        <w:rPr>
          <w:color w:val="3A7C22" w:themeColor="accent6" w:themeShade="BF"/>
        </w:rPr>
      </w:pPr>
    </w:p>
    <w:p w14:paraId="259D94CA" w14:textId="3F0EDD84" w:rsidR="00572C4A" w:rsidRPr="007A0434" w:rsidRDefault="00572C4A" w:rsidP="00572C4A">
      <w:pPr>
        <w:rPr>
          <w:color w:val="000000" w:themeColor="text1"/>
        </w:rPr>
      </w:pPr>
      <w:r w:rsidRPr="007A0434">
        <w:rPr>
          <w:color w:val="000000" w:themeColor="text1"/>
        </w:rPr>
        <w:t xml:space="preserve">The is no information available at present on a s.49 Development Contribution Scheme in respect of Metrolink. </w:t>
      </w:r>
    </w:p>
    <w:p w14:paraId="675B8134" w14:textId="77777777" w:rsidR="00572C4A" w:rsidRPr="007A0434" w:rsidRDefault="00572C4A">
      <w:pPr>
        <w:rPr>
          <w:color w:val="000000" w:themeColor="text1"/>
        </w:rPr>
      </w:pPr>
    </w:p>
    <w:p w14:paraId="6B0A52F7" w14:textId="5C0070F5" w:rsidR="00572C4A" w:rsidRPr="003A49BD" w:rsidRDefault="00572C4A" w:rsidP="009F71DA">
      <w:pPr>
        <w:jc w:val="both"/>
        <w:rPr>
          <w:color w:val="3A7C22" w:themeColor="accent6" w:themeShade="BF"/>
        </w:rPr>
      </w:pPr>
    </w:p>
    <w:sectPr w:rsidR="00572C4A" w:rsidRPr="003A49BD" w:rsidSect="007A0434">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4E5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B2D5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F19A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D1995"/>
    <w:multiLevelType w:val="multilevel"/>
    <w:tmpl w:val="60EE0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4826B0"/>
    <w:multiLevelType w:val="hybridMultilevel"/>
    <w:tmpl w:val="4EA81B16"/>
    <w:lvl w:ilvl="0" w:tplc="A414005A">
      <w:start w:val="1"/>
      <w:numFmt w:val="decimal"/>
      <w:lvlText w:val="%1."/>
      <w:lvlJc w:val="left"/>
      <w:pPr>
        <w:ind w:left="360" w:hanging="360"/>
      </w:pPr>
      <w:rPr>
        <w:rFonts w:hint="default"/>
        <w:b w:val="0"/>
        <w:bCs w:val="0"/>
        <w:strike w:val="0"/>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433F7817"/>
    <w:multiLevelType w:val="hybridMultilevel"/>
    <w:tmpl w:val="86668FCA"/>
    <w:lvl w:ilvl="0" w:tplc="18090001">
      <w:start w:val="1"/>
      <w:numFmt w:val="bullet"/>
      <w:lvlText w:val=""/>
      <w:lvlJc w:val="left"/>
      <w:pPr>
        <w:ind w:left="720" w:hanging="360"/>
      </w:pPr>
      <w:rPr>
        <w:rFonts w:ascii="Symbol" w:hAnsi="Symbol" w:hint="default"/>
        <w:strike w:val="0"/>
        <w:color w:val="000000" w:themeColor="text1"/>
      </w:rPr>
    </w:lvl>
    <w:lvl w:ilvl="1" w:tplc="6F546868">
      <w:start w:val="1"/>
      <w:numFmt w:val="lowerRoman"/>
      <w:lvlText w:val="(%2)"/>
      <w:lvlJc w:val="left"/>
      <w:pPr>
        <w:ind w:left="1352" w:hanging="360"/>
      </w:pPr>
      <w:rPr>
        <w:rFonts w:ascii="Open Sans" w:eastAsia="Yu Gothic UI Semilight" w:hAnsi="Open Sans"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A5719"/>
    <w:multiLevelType w:val="hybridMultilevel"/>
    <w:tmpl w:val="594291E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D501C7C"/>
    <w:multiLevelType w:val="hybridMultilevel"/>
    <w:tmpl w:val="FC2E3AEC"/>
    <w:lvl w:ilvl="0" w:tplc="013CC050">
      <w:start w:val="2026"/>
      <w:numFmt w:val="bullet"/>
      <w:lvlText w:val="-"/>
      <w:lvlJc w:val="left"/>
      <w:pPr>
        <w:ind w:left="1211" w:hanging="360"/>
      </w:pPr>
      <w:rPr>
        <w:rFonts w:ascii="Open Sans" w:eastAsia="Yu Gothic UI Semilight" w:hAnsi="Open Sans" w:cs="Open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5E4F90"/>
    <w:multiLevelType w:val="hybridMultilevel"/>
    <w:tmpl w:val="FDBA8C84"/>
    <w:lvl w:ilvl="0" w:tplc="013CC050">
      <w:start w:val="2026"/>
      <w:numFmt w:val="bullet"/>
      <w:lvlText w:val="-"/>
      <w:lvlJc w:val="left"/>
      <w:pPr>
        <w:ind w:left="1211" w:hanging="360"/>
      </w:pPr>
      <w:rPr>
        <w:rFonts w:ascii="Open Sans" w:eastAsia="Yu Gothic UI Semilight" w:hAnsi="Open Sans" w:cs="Open Sans"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668820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566079">
    <w:abstractNumId w:val="6"/>
  </w:num>
  <w:num w:numId="3" w16cid:durableId="815417631">
    <w:abstractNumId w:val="4"/>
  </w:num>
  <w:num w:numId="4" w16cid:durableId="1612013060">
    <w:abstractNumId w:val="2"/>
  </w:num>
  <w:num w:numId="5" w16cid:durableId="1698315115">
    <w:abstractNumId w:val="1"/>
  </w:num>
  <w:num w:numId="6" w16cid:durableId="1039357139">
    <w:abstractNumId w:val="0"/>
  </w:num>
  <w:num w:numId="7" w16cid:durableId="1315379502">
    <w:abstractNumId w:val="5"/>
  </w:num>
  <w:num w:numId="8" w16cid:durableId="789083256">
    <w:abstractNumId w:val="8"/>
  </w:num>
  <w:num w:numId="9" w16cid:durableId="296881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4A"/>
    <w:rsid w:val="00044A34"/>
    <w:rsid w:val="00095BA3"/>
    <w:rsid w:val="000A50E3"/>
    <w:rsid w:val="000B7640"/>
    <w:rsid w:val="000C3B1D"/>
    <w:rsid w:val="000E0076"/>
    <w:rsid w:val="0011346A"/>
    <w:rsid w:val="001A108A"/>
    <w:rsid w:val="001B0C75"/>
    <w:rsid w:val="001E5545"/>
    <w:rsid w:val="001F0F91"/>
    <w:rsid w:val="002114FF"/>
    <w:rsid w:val="00215005"/>
    <w:rsid w:val="002171F4"/>
    <w:rsid w:val="00243A78"/>
    <w:rsid w:val="00257A96"/>
    <w:rsid w:val="002713C4"/>
    <w:rsid w:val="002D74B1"/>
    <w:rsid w:val="002F0D7C"/>
    <w:rsid w:val="00303BB4"/>
    <w:rsid w:val="00313F6D"/>
    <w:rsid w:val="00323A12"/>
    <w:rsid w:val="00331616"/>
    <w:rsid w:val="00345D4D"/>
    <w:rsid w:val="00393D4C"/>
    <w:rsid w:val="003A0E8F"/>
    <w:rsid w:val="003A49BD"/>
    <w:rsid w:val="003B1541"/>
    <w:rsid w:val="003C2A7A"/>
    <w:rsid w:val="003D327A"/>
    <w:rsid w:val="003F5146"/>
    <w:rsid w:val="00431655"/>
    <w:rsid w:val="00433924"/>
    <w:rsid w:val="00462424"/>
    <w:rsid w:val="004943C6"/>
    <w:rsid w:val="004A6F1F"/>
    <w:rsid w:val="004E073F"/>
    <w:rsid w:val="00537CA2"/>
    <w:rsid w:val="005452B5"/>
    <w:rsid w:val="00546B6C"/>
    <w:rsid w:val="00552EA9"/>
    <w:rsid w:val="005700B5"/>
    <w:rsid w:val="00572C4A"/>
    <w:rsid w:val="00580DDE"/>
    <w:rsid w:val="005C7313"/>
    <w:rsid w:val="005D57AE"/>
    <w:rsid w:val="0061474B"/>
    <w:rsid w:val="00671BBF"/>
    <w:rsid w:val="00685E4D"/>
    <w:rsid w:val="00697648"/>
    <w:rsid w:val="006C20A7"/>
    <w:rsid w:val="006C29B2"/>
    <w:rsid w:val="006C58AF"/>
    <w:rsid w:val="006D1DD3"/>
    <w:rsid w:val="006F0671"/>
    <w:rsid w:val="006F65D6"/>
    <w:rsid w:val="00704202"/>
    <w:rsid w:val="00713059"/>
    <w:rsid w:val="00727931"/>
    <w:rsid w:val="007564C6"/>
    <w:rsid w:val="00784CEA"/>
    <w:rsid w:val="007A0434"/>
    <w:rsid w:val="007B162C"/>
    <w:rsid w:val="007B3362"/>
    <w:rsid w:val="007D7DD9"/>
    <w:rsid w:val="00800449"/>
    <w:rsid w:val="00802792"/>
    <w:rsid w:val="00825579"/>
    <w:rsid w:val="00847356"/>
    <w:rsid w:val="00867E03"/>
    <w:rsid w:val="00897761"/>
    <w:rsid w:val="00897E3E"/>
    <w:rsid w:val="008D458A"/>
    <w:rsid w:val="008D704F"/>
    <w:rsid w:val="008D7C16"/>
    <w:rsid w:val="008E1B4A"/>
    <w:rsid w:val="008E66BD"/>
    <w:rsid w:val="00907891"/>
    <w:rsid w:val="0092456E"/>
    <w:rsid w:val="00941CCD"/>
    <w:rsid w:val="00950FF4"/>
    <w:rsid w:val="0096259F"/>
    <w:rsid w:val="00970B71"/>
    <w:rsid w:val="009A5F4A"/>
    <w:rsid w:val="009C6524"/>
    <w:rsid w:val="009E5085"/>
    <w:rsid w:val="009F2479"/>
    <w:rsid w:val="009F71DA"/>
    <w:rsid w:val="00A33491"/>
    <w:rsid w:val="00A64A40"/>
    <w:rsid w:val="00AC4703"/>
    <w:rsid w:val="00AF2CE0"/>
    <w:rsid w:val="00B077CB"/>
    <w:rsid w:val="00B36E5B"/>
    <w:rsid w:val="00B4781D"/>
    <w:rsid w:val="00B60439"/>
    <w:rsid w:val="00B71E63"/>
    <w:rsid w:val="00B772D3"/>
    <w:rsid w:val="00B8375A"/>
    <w:rsid w:val="00B96A88"/>
    <w:rsid w:val="00BD659C"/>
    <w:rsid w:val="00BE030F"/>
    <w:rsid w:val="00C15993"/>
    <w:rsid w:val="00C304D4"/>
    <w:rsid w:val="00C700FF"/>
    <w:rsid w:val="00CA7C82"/>
    <w:rsid w:val="00CB6109"/>
    <w:rsid w:val="00CB69F3"/>
    <w:rsid w:val="00CE5EC8"/>
    <w:rsid w:val="00CF5E0B"/>
    <w:rsid w:val="00D015D3"/>
    <w:rsid w:val="00D20E96"/>
    <w:rsid w:val="00D50BD5"/>
    <w:rsid w:val="00D552F3"/>
    <w:rsid w:val="00D70FC7"/>
    <w:rsid w:val="00D75618"/>
    <w:rsid w:val="00D97516"/>
    <w:rsid w:val="00DB0C66"/>
    <w:rsid w:val="00DB2BCD"/>
    <w:rsid w:val="00DD604A"/>
    <w:rsid w:val="00DE1AAF"/>
    <w:rsid w:val="00DF3118"/>
    <w:rsid w:val="00E10157"/>
    <w:rsid w:val="00E13ACF"/>
    <w:rsid w:val="00E661D2"/>
    <w:rsid w:val="00E7272B"/>
    <w:rsid w:val="00E81FA7"/>
    <w:rsid w:val="00E9155E"/>
    <w:rsid w:val="00EA5450"/>
    <w:rsid w:val="00EB01B5"/>
    <w:rsid w:val="00ED4D30"/>
    <w:rsid w:val="00EE2B5E"/>
    <w:rsid w:val="00F630C8"/>
    <w:rsid w:val="00F664B3"/>
    <w:rsid w:val="00F8399E"/>
    <w:rsid w:val="00FB007F"/>
    <w:rsid w:val="00FD0781"/>
    <w:rsid w:val="26E28F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B693"/>
  <w15:chartTrackingRefBased/>
  <w15:docId w15:val="{D81DB2DD-C4C5-45DC-A4EF-7BF9D1CD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C4A"/>
    <w:rPr>
      <w:rFonts w:eastAsiaTheme="majorEastAsia" w:cstheme="majorBidi"/>
      <w:color w:val="272727" w:themeColor="text1" w:themeTint="D8"/>
    </w:rPr>
  </w:style>
  <w:style w:type="paragraph" w:styleId="Title">
    <w:name w:val="Title"/>
    <w:basedOn w:val="Normal"/>
    <w:next w:val="Normal"/>
    <w:link w:val="TitleChar"/>
    <w:uiPriority w:val="10"/>
    <w:qFormat/>
    <w:rsid w:val="00572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C4A"/>
    <w:pPr>
      <w:spacing w:before="160"/>
      <w:jc w:val="center"/>
    </w:pPr>
    <w:rPr>
      <w:i/>
      <w:iCs/>
      <w:color w:val="404040" w:themeColor="text1" w:themeTint="BF"/>
    </w:rPr>
  </w:style>
  <w:style w:type="character" w:customStyle="1" w:styleId="QuoteChar">
    <w:name w:val="Quote Char"/>
    <w:basedOn w:val="DefaultParagraphFont"/>
    <w:link w:val="Quote"/>
    <w:uiPriority w:val="29"/>
    <w:rsid w:val="00572C4A"/>
    <w:rPr>
      <w:i/>
      <w:iCs/>
      <w:color w:val="404040" w:themeColor="text1" w:themeTint="BF"/>
    </w:rPr>
  </w:style>
  <w:style w:type="paragraph" w:styleId="ListParagraph">
    <w:name w:val="List Paragraph"/>
    <w:basedOn w:val="Normal"/>
    <w:uiPriority w:val="34"/>
    <w:qFormat/>
    <w:rsid w:val="00572C4A"/>
    <w:pPr>
      <w:ind w:left="720"/>
      <w:contextualSpacing/>
    </w:pPr>
  </w:style>
  <w:style w:type="character" w:styleId="IntenseEmphasis">
    <w:name w:val="Intense Emphasis"/>
    <w:basedOn w:val="DefaultParagraphFont"/>
    <w:uiPriority w:val="21"/>
    <w:qFormat/>
    <w:rsid w:val="00572C4A"/>
    <w:rPr>
      <w:i/>
      <w:iCs/>
      <w:color w:val="0F4761" w:themeColor="accent1" w:themeShade="BF"/>
    </w:rPr>
  </w:style>
  <w:style w:type="paragraph" w:styleId="IntenseQuote">
    <w:name w:val="Intense Quote"/>
    <w:basedOn w:val="Normal"/>
    <w:next w:val="Normal"/>
    <w:link w:val="IntenseQuoteChar"/>
    <w:uiPriority w:val="30"/>
    <w:qFormat/>
    <w:rsid w:val="00572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C4A"/>
    <w:rPr>
      <w:i/>
      <w:iCs/>
      <w:color w:val="0F4761" w:themeColor="accent1" w:themeShade="BF"/>
    </w:rPr>
  </w:style>
  <w:style w:type="character" w:styleId="IntenseReference">
    <w:name w:val="Intense Reference"/>
    <w:basedOn w:val="DefaultParagraphFont"/>
    <w:uiPriority w:val="32"/>
    <w:qFormat/>
    <w:rsid w:val="00572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91642">
      <w:bodyDiv w:val="1"/>
      <w:marLeft w:val="0"/>
      <w:marRight w:val="0"/>
      <w:marTop w:val="0"/>
      <w:marBottom w:val="0"/>
      <w:divBdr>
        <w:top w:val="none" w:sz="0" w:space="0" w:color="auto"/>
        <w:left w:val="none" w:sz="0" w:space="0" w:color="auto"/>
        <w:bottom w:val="none" w:sz="0" w:space="0" w:color="auto"/>
        <w:right w:val="none" w:sz="0" w:space="0" w:color="auto"/>
      </w:divBdr>
    </w:div>
    <w:div w:id="1336692802">
      <w:bodyDiv w:val="1"/>
      <w:marLeft w:val="0"/>
      <w:marRight w:val="0"/>
      <w:marTop w:val="0"/>
      <w:marBottom w:val="0"/>
      <w:divBdr>
        <w:top w:val="none" w:sz="0" w:space="0" w:color="auto"/>
        <w:left w:val="none" w:sz="0" w:space="0" w:color="auto"/>
        <w:bottom w:val="none" w:sz="0" w:space="0" w:color="auto"/>
        <w:right w:val="none" w:sz="0" w:space="0" w:color="auto"/>
      </w:divBdr>
    </w:div>
    <w:div w:id="1605108189">
      <w:bodyDiv w:val="1"/>
      <w:marLeft w:val="0"/>
      <w:marRight w:val="0"/>
      <w:marTop w:val="0"/>
      <w:marBottom w:val="0"/>
      <w:divBdr>
        <w:top w:val="none" w:sz="0" w:space="0" w:color="auto"/>
        <w:left w:val="none" w:sz="0" w:space="0" w:color="auto"/>
        <w:bottom w:val="none" w:sz="0" w:space="0" w:color="auto"/>
        <w:right w:val="none" w:sz="0" w:space="0" w:color="auto"/>
      </w:divBdr>
    </w:div>
    <w:div w:id="20944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Contact xmlns="bbab0ff2-14c1-4661-8983-4933bbff6693">
      <UserInfo>
        <DisplayName>Seamus Martin</DisplayName>
        <AccountId>30</AccountId>
        <AccountType/>
      </UserInfo>
    </Contact>
    <FileComments xmlns="58e8b11a-4558-4133-94cf-45060ae74664" xsi:nil="true"/>
    <eFolderAction xmlns="43cb92aa-a95d-42a9-86cc-8a924842efef" xsi:nil="true"/>
    <DocSetName xmlns="741afaa6-9453-446f-a425-74531b16a762">fin846-00003-2024 2873</DocSetName>
    <lcf76f155ced4ddcb4097134ff3c332f xmlns="43cb92aa-a95d-42a9-86cc-8a924842efef">
      <Terms xmlns="http://schemas.microsoft.com/office/infopath/2007/PartnerControls"/>
    </lcf76f155ced4ddcb4097134ff3c332f>
    <TaxCatchAll xmlns="bbab0ff2-14c1-4661-8983-4933bbff6693" xsi:nil="true"/>
    <bcf6564c3bf64b598722f14494f25d82 xmlns="741afaa6-9453-446f-a425-74531b16a762">
      <Terms xmlns="http://schemas.microsoft.com/office/infopath/2007/PartnerControls"/>
    </bcf6564c3bf64b598722f14494f25d82>
    <Time xmlns="43cb92aa-a95d-42a9-86cc-8a924842ef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AEA67C738A84B8FEB69BE5D77743D" ma:contentTypeVersion="24" ma:contentTypeDescription="Create a new document." ma:contentTypeScope="" ma:versionID="627979c4ae1af1f07370bffb04190355">
  <xsd:schema xmlns:xsd="http://www.w3.org/2001/XMLSchema" xmlns:xs="http://www.w3.org/2001/XMLSchema" xmlns:p="http://schemas.microsoft.com/office/2006/metadata/properties" xmlns:ns2="bbab0ff2-14c1-4661-8983-4933bbff6693" xmlns:ns3="741afaa6-9453-446f-a425-74531b16a762" xmlns:ns4="58e8b11a-4558-4133-94cf-45060ae74664" xmlns:ns5="43cb92aa-a95d-42a9-86cc-8a924842efef" targetNamespace="http://schemas.microsoft.com/office/2006/metadata/properties" ma:root="true" ma:fieldsID="1faacdd939b7d08c1915b12ee7923978" ns2:_="" ns3:_="" ns4:_="" ns5:_="">
    <xsd:import namespace="bbab0ff2-14c1-4661-8983-4933bbff6693"/>
    <xsd:import namespace="741afaa6-9453-446f-a425-74531b16a762"/>
    <xsd:import namespace="58e8b11a-4558-4133-94cf-45060ae74664"/>
    <xsd:import namespace="43cb92aa-a95d-42a9-86cc-8a924842efef"/>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MediaServiceObjectDetectorVersions" minOccurs="0"/>
                <xsd:element ref="ns5:eFolderAction"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b0ff2-14c1-4661-8983-4933bbff669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e91ecd0-be66-4276-8653-1679f56ad0c3}" ma:internalName="TaxCatchAll" ma:showField="CatchAllData" ma:web="bbab0ff2-14c1-4661-8983-4933bbff66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e91ecd0-be66-4276-8653-1679f56ad0c3}" ma:internalName="TaxCatchAllLabel" ma:readOnly="true" ma:showField="CatchAllDataLabel" ma:web="bbab0ff2-14c1-4661-8983-4933bbff6693">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b92aa-a95d-42a9-86cc-8a924842efef"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FolderAction" ma:index="25" nillable="true" ma:displayName="eFolderAction" ma:hidden="true" ma:internalName="eFolderActio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Time" ma:index="33" nillable="true" ma:displayName="Time" ma:format="DateOnly" ma:internalName="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CF33-A434-4984-81FE-5B6786C4BD6F}">
  <ds:schemaRefs>
    <ds:schemaRef ds:uri="http://purl.org/dc/terms/"/>
    <ds:schemaRef ds:uri="http://schemas.openxmlformats.org/package/2006/metadata/core-properties"/>
    <ds:schemaRef ds:uri="58e8b11a-4558-4133-94cf-45060ae74664"/>
    <ds:schemaRef ds:uri="http://schemas.microsoft.com/office/2006/documentManagement/types"/>
    <ds:schemaRef ds:uri="bbab0ff2-14c1-4661-8983-4933bbff6693"/>
    <ds:schemaRef ds:uri="http://purl.org/dc/elements/1.1/"/>
    <ds:schemaRef ds:uri="http://schemas.microsoft.com/office/2006/metadata/properties"/>
    <ds:schemaRef ds:uri="43cb92aa-a95d-42a9-86cc-8a924842efef"/>
    <ds:schemaRef ds:uri="http://schemas.microsoft.com/office/infopath/2007/PartnerControls"/>
    <ds:schemaRef ds:uri="741afaa6-9453-446f-a425-74531b16a762"/>
    <ds:schemaRef ds:uri="http://www.w3.org/XML/1998/namespace"/>
    <ds:schemaRef ds:uri="http://purl.org/dc/dcmitype/"/>
  </ds:schemaRefs>
</ds:datastoreItem>
</file>

<file path=customXml/itemProps2.xml><?xml version="1.0" encoding="utf-8"?>
<ds:datastoreItem xmlns:ds="http://schemas.openxmlformats.org/officeDocument/2006/customXml" ds:itemID="{829F79AF-B117-4846-A805-91FB3F676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b0ff2-14c1-4661-8983-4933bbff6693"/>
    <ds:schemaRef ds:uri="741afaa6-9453-446f-a425-74531b16a762"/>
    <ds:schemaRef ds:uri="58e8b11a-4558-4133-94cf-45060ae74664"/>
    <ds:schemaRef ds:uri="43cb92aa-a95d-42a9-86cc-8a924842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F0B79-8E31-41E3-839E-E277AF610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Murray</dc:creator>
  <cp:keywords/>
  <dc:description/>
  <cp:lastModifiedBy>Brian Murray</cp:lastModifiedBy>
  <cp:revision>2</cp:revision>
  <dcterms:created xsi:type="dcterms:W3CDTF">2025-12-08T12:04:00Z</dcterms:created>
  <dcterms:modified xsi:type="dcterms:W3CDTF">2025-12-08T12:04:00Z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0x010100557AEA67C738A84B8FEB69BE5D77743D</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y fmtid="{D5CDD505-2E9C-101B-9397-08002B2CF9AE}" pid="6" name="_docset_NoMedatataSyncRequired">
    <vt:lpwstr>False</vt:lpwstr>
  </property>
</Properties>
</file>